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2024年招生宣传精准定投项目需求表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357" w:tblpY="27"/>
        <w:tblOverlap w:val="never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40"/>
        <w:gridCol w:w="2880"/>
        <w:gridCol w:w="609"/>
        <w:gridCol w:w="555"/>
        <w:gridCol w:w="666"/>
        <w:gridCol w:w="2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报价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微信朋友圈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精准定投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1、朋友圈曝光60万次，浏览广告3秒-5分钟内算一次曝光，需要提供腾讯广告合作商授权证明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2、朋友圈广告封面设计，广告封面展示形式设计（卡片式+组图式+原生推广页），内层链接跳转推广学校公众号或指定宣传微信推文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3、在分类招生期间投放投放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4、招生宣传一图看懂设计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5、结案反馈报告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6、微信平台投放管理、客服支持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7、推广院校招生公众号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朋友圈投放指定条件：安徽省或者外省（也可以指定具体地市、县或高中）17-19周岁，学历：高中，关键词：高职招生、安徽高职院校、2024年分类招生等；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投放日期、指定年龄、地域、学历可根据学校需求随时调整，可以分别精准投放至学生与家长微信朋友圈，提高学校的知名度。（可一键拨打招办电话及关注微信公众号）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抖音官方小视频广告精准定投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1、抖音小视频官方广告推广100万次（含今日头条），需要提供今日互联公司授权合作文件盖章证明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2、抖音广告主账户开户，确认资质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3、对接素材（活动主题或推广目的）的图片和文字介绍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4、抖音视频剪辑制作，头条文章内容设计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5、进行文案与宣传页面的制作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6、确认文案与宣传页面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7、优化组进行后期投放规划开始投放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8、抖音广告投放运营维护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用户属性可以设置，如性别、年龄、兴趣爱好，区域可设定指定区域精确推送，推广用户群体精准，可以达到较好的宣传的效果；起价、策略会随时优化和调整。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1、对学校招生线上平台发布内容进行筛查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2、招生数据数字化提供数据支持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共计：     元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NzBiNTc3ZjcxMDgyNDAwMjZkNWVjYTUxMTc3ODgifQ=="/>
  </w:docVars>
  <w:rsids>
    <w:rsidRoot w:val="48BE6435"/>
    <w:rsid w:val="48B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2024-01-19T09:09:00Z</dcterms:created>
  <dc:creator>青言不语</dc:creator>
  <cp:lastModifiedBy>青言不语</cp:lastModifiedBy>
  <dcterms:modified xsi:type="dcterms:W3CDTF">2024-01-19T09:11:01Z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54A7A4063B034632965D37D3E2B0ABCA_11</vt:lpwstr>
  </property>
</Properties>
</file>