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8"/>
        <w:tblW w:w="9580" w:type="dxa"/>
        <w:tblInd w:w="93" w:type="dxa"/>
        <w:tblLayout w:type="fixed"/>
        <w:tblCellMar>
          <w:top w:w="0" w:type="dxa"/>
          <w:left w:w="108" w:type="dxa"/>
          <w:bottom w:w="0" w:type="dxa"/>
          <w:right w:w="108" w:type="dxa"/>
        </w:tblCellMar>
      </w:tblPr>
      <w:tblGrid>
        <w:gridCol w:w="9580"/>
      </w:tblGrid>
      <w:tr w14:paraId="1406396F">
        <w:tblPrEx>
          <w:tblCellMar>
            <w:top w:w="0" w:type="dxa"/>
            <w:left w:w="108" w:type="dxa"/>
            <w:bottom w:w="0" w:type="dxa"/>
            <w:right w:w="108" w:type="dxa"/>
          </w:tblCellMar>
        </w:tblPrEx>
        <w:trPr>
          <w:trHeight w:val="7166" w:hRule="atLeast"/>
        </w:trPr>
        <w:tc>
          <w:tcPr>
            <w:tcW w:w="9580" w:type="dxa"/>
            <w:tcBorders>
              <w:top w:val="nil"/>
              <w:left w:val="nil"/>
              <w:bottom w:val="nil"/>
              <w:right w:val="nil"/>
            </w:tcBorders>
            <w:shd w:val="clear" w:color="auto" w:fill="auto"/>
            <w:noWrap/>
            <w:vAlign w:val="center"/>
          </w:tcPr>
          <w:p w14:paraId="4CE29A65">
            <w:pPr>
              <w:keepNext w:val="0"/>
              <w:keepLines w:val="0"/>
              <w:pageBreakBefore w:val="0"/>
              <w:kinsoku/>
              <w:wordWrap/>
              <w:overflowPunct/>
              <w:topLinePunct w:val="0"/>
              <w:autoSpaceDE/>
              <w:autoSpaceDN/>
              <w:bidi w:val="0"/>
              <w:ind w:firstLine="562" w:firstLineChars="200"/>
              <w:rPr>
                <w:rFonts w:hint="default" w:ascii="仿宋" w:hAnsi="仿宋" w:eastAsia="仿宋" w:cs="仿宋"/>
                <w:color w:val="000000" w:themeColor="text1"/>
                <w:kern w:val="0"/>
                <w:sz w:val="30"/>
                <w:szCs w:val="30"/>
                <w:lang w:val="en-US" w:eastAsia="zh-CN" w:bidi="ar-SA"/>
                <w14:textFill>
                  <w14:solidFill>
                    <w14:schemeClr w14:val="tx1"/>
                  </w14:solidFill>
                </w14:textFill>
              </w:rPr>
            </w:pPr>
            <w:r>
              <w:rPr>
                <w:rFonts w:hint="eastAsia" w:ascii="仿宋" w:hAnsi="仿宋" w:eastAsia="仿宋" w:cs="仿宋"/>
                <w:b/>
                <w:bCs/>
                <w:color w:val="000000" w:themeColor="text1"/>
                <w:kern w:val="0"/>
                <w:sz w:val="28"/>
                <w:szCs w:val="28"/>
                <w:lang w:val="en-US" w:eastAsia="zh-CN" w:bidi="ar-SA"/>
                <w14:textFill>
                  <w14:solidFill>
                    <w14:schemeClr w14:val="tx1"/>
                  </w14:solidFill>
                </w14:textFill>
              </w:rPr>
              <w:t>项目需求</w:t>
            </w:r>
            <w:r>
              <w:rPr>
                <w:rFonts w:hint="eastAsia" w:ascii="仿宋" w:hAnsi="仿宋" w:eastAsia="仿宋" w:cs="仿宋"/>
                <w:color w:val="000000" w:themeColor="text1"/>
                <w:kern w:val="0"/>
                <w:sz w:val="28"/>
                <w:szCs w:val="28"/>
                <w:lang w:val="en-US" w:eastAsia="zh-CN" w:bidi="ar-SA"/>
                <w14:textFill>
                  <w14:solidFill>
                    <w14:schemeClr w14:val="tx1"/>
                  </w14:solidFill>
                </w14:textFill>
              </w:rPr>
              <w:t xml:space="preserve">：     </w:t>
            </w:r>
            <w:r>
              <w:rPr>
                <w:rFonts w:hint="eastAsia" w:ascii="仿宋" w:hAnsi="仿宋" w:eastAsia="仿宋" w:cs="仿宋"/>
                <w:b/>
                <w:bCs/>
                <w:color w:val="000000" w:themeColor="text1"/>
                <w:kern w:val="0"/>
                <w:sz w:val="30"/>
                <w:szCs w:val="30"/>
                <w:lang w:val="en-US" w:eastAsia="zh-CN" w:bidi="ar-SA"/>
                <w14:textFill>
                  <w14:solidFill>
                    <w14:schemeClr w14:val="tx1"/>
                  </w14:solidFill>
                </w14:textFill>
              </w:rPr>
              <w:t>烟感报警器安装项目采购清单</w:t>
            </w:r>
          </w:p>
          <w:p w14:paraId="6867AC3C">
            <w:pPr>
              <w:keepNext w:val="0"/>
              <w:keepLines w:val="0"/>
              <w:pageBreakBefore w:val="0"/>
              <w:kinsoku/>
              <w:wordWrap/>
              <w:overflowPunct/>
              <w:topLinePunct w:val="0"/>
              <w:autoSpaceDE/>
              <w:autoSpaceDN/>
              <w:bidi w:val="0"/>
              <w:ind w:firstLine="600" w:firstLineChars="200"/>
              <w:rPr>
                <w:rFonts w:hint="eastAsia" w:ascii="仿宋" w:hAnsi="仿宋" w:eastAsia="仿宋" w:cs="仿宋"/>
                <w:color w:val="000000" w:themeColor="text1"/>
                <w:kern w:val="0"/>
                <w:sz w:val="30"/>
                <w:szCs w:val="30"/>
                <w:lang w:val="en-US" w:eastAsia="zh-CN" w:bidi="ar-SA"/>
                <w14:textFill>
                  <w14:solidFill>
                    <w14:schemeClr w14:val="tx1"/>
                  </w14:solidFill>
                </w14:textFill>
              </w:rPr>
            </w:pPr>
          </w:p>
          <w:tbl>
            <w:tblPr>
              <w:tblStyle w:val="9"/>
              <w:tblpPr w:leftFromText="180" w:rightFromText="180" w:vertAnchor="page" w:horzAnchor="page" w:tblpX="295" w:tblpY="884"/>
              <w:tblOverlap w:val="never"/>
              <w:tblW w:w="91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2"/>
              <w:gridCol w:w="1584"/>
              <w:gridCol w:w="2148"/>
              <w:gridCol w:w="1225"/>
              <w:gridCol w:w="874"/>
              <w:gridCol w:w="1244"/>
            </w:tblGrid>
            <w:tr w14:paraId="1D4B0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2062" w:type="dxa"/>
                </w:tcPr>
                <w:p w14:paraId="030C1DD6">
                  <w:pPr>
                    <w:keepNext w:val="0"/>
                    <w:keepLines w:val="0"/>
                    <w:pageBreakBefore w:val="0"/>
                    <w:kinsoku/>
                    <w:wordWrap/>
                    <w:overflowPunct/>
                    <w:topLinePunct w:val="0"/>
                    <w:autoSpaceDE/>
                    <w:autoSpaceDN/>
                    <w:bidi w:val="0"/>
                    <w:ind w:firstLine="600" w:firstLineChars="200"/>
                    <w:jc w:val="center"/>
                    <w:rPr>
                      <w:rFonts w:hint="default" w:ascii="仿宋" w:hAnsi="仿宋" w:eastAsia="仿宋" w:cs="仿宋"/>
                      <w:color w:val="000000" w:themeColor="text1"/>
                      <w:kern w:val="0"/>
                      <w:sz w:val="30"/>
                      <w:szCs w:val="30"/>
                      <w:lang w:val="en-US" w:eastAsia="zh-CN" w:bidi="ar-SA"/>
                      <w14:textFill>
                        <w14:solidFill>
                          <w14:schemeClr w14:val="tx1"/>
                        </w14:solidFill>
                      </w14:textFill>
                    </w:rPr>
                  </w:pPr>
                  <w:r>
                    <w:rPr>
                      <w:rFonts w:hint="eastAsia" w:ascii="仿宋" w:hAnsi="仿宋" w:eastAsia="仿宋" w:cs="仿宋"/>
                      <w:color w:val="000000" w:themeColor="text1"/>
                      <w:kern w:val="0"/>
                      <w:sz w:val="30"/>
                      <w:szCs w:val="30"/>
                      <w:lang w:val="en-US" w:eastAsia="zh-CN" w:bidi="ar-SA"/>
                      <w14:textFill>
                        <w14:solidFill>
                          <w14:schemeClr w14:val="tx1"/>
                        </w14:solidFill>
                      </w14:textFill>
                    </w:rPr>
                    <w:t>物品名称</w:t>
                  </w:r>
                </w:p>
              </w:tc>
              <w:tc>
                <w:tcPr>
                  <w:tcW w:w="1584" w:type="dxa"/>
                </w:tcPr>
                <w:p w14:paraId="5FC5F021">
                  <w:pPr>
                    <w:keepNext w:val="0"/>
                    <w:keepLines w:val="0"/>
                    <w:pageBreakBefore w:val="0"/>
                    <w:kinsoku/>
                    <w:wordWrap/>
                    <w:overflowPunct/>
                    <w:topLinePunct w:val="0"/>
                    <w:autoSpaceDE/>
                    <w:autoSpaceDN/>
                    <w:bidi w:val="0"/>
                    <w:jc w:val="both"/>
                    <w:rPr>
                      <w:rFonts w:hint="default" w:ascii="仿宋" w:hAnsi="仿宋" w:eastAsia="仿宋" w:cs="仿宋"/>
                      <w:color w:val="000000" w:themeColor="text1"/>
                      <w:kern w:val="0"/>
                      <w:sz w:val="30"/>
                      <w:szCs w:val="30"/>
                      <w:lang w:val="en-US" w:eastAsia="zh-CN" w:bidi="ar-SA"/>
                      <w14:textFill>
                        <w14:solidFill>
                          <w14:schemeClr w14:val="tx1"/>
                        </w14:solidFill>
                      </w14:textFill>
                    </w:rPr>
                  </w:pPr>
                  <w:r>
                    <w:rPr>
                      <w:rFonts w:hint="eastAsia" w:ascii="仿宋" w:hAnsi="仿宋" w:eastAsia="仿宋" w:cs="仿宋"/>
                      <w:color w:val="000000" w:themeColor="text1"/>
                      <w:kern w:val="0"/>
                      <w:sz w:val="30"/>
                      <w:szCs w:val="30"/>
                      <w:lang w:val="en-US" w:eastAsia="zh-CN" w:bidi="ar-SA"/>
                      <w14:textFill>
                        <w14:solidFill>
                          <w14:schemeClr w14:val="tx1"/>
                        </w14:solidFill>
                      </w14:textFill>
                    </w:rPr>
                    <w:t>推荐品牌</w:t>
                  </w:r>
                </w:p>
              </w:tc>
              <w:tc>
                <w:tcPr>
                  <w:tcW w:w="2148" w:type="dxa"/>
                </w:tcPr>
                <w:p w14:paraId="6AA5CB9D">
                  <w:pPr>
                    <w:keepNext w:val="0"/>
                    <w:keepLines w:val="0"/>
                    <w:pageBreakBefore w:val="0"/>
                    <w:kinsoku/>
                    <w:wordWrap/>
                    <w:overflowPunct/>
                    <w:topLinePunct w:val="0"/>
                    <w:autoSpaceDE/>
                    <w:autoSpaceDN/>
                    <w:bidi w:val="0"/>
                    <w:ind w:firstLine="600" w:firstLineChars="200"/>
                    <w:jc w:val="both"/>
                    <w:rPr>
                      <w:rFonts w:hint="eastAsia" w:ascii="仿宋" w:hAnsi="仿宋" w:eastAsia="仿宋" w:cs="仿宋"/>
                      <w:color w:val="000000" w:themeColor="text1"/>
                      <w:kern w:val="0"/>
                      <w:sz w:val="30"/>
                      <w:szCs w:val="30"/>
                      <w:lang w:val="en-US" w:eastAsia="zh-CN" w:bidi="ar-SA"/>
                      <w14:textFill>
                        <w14:solidFill>
                          <w14:schemeClr w14:val="tx1"/>
                        </w14:solidFill>
                      </w14:textFill>
                    </w:rPr>
                  </w:pPr>
                  <w:r>
                    <w:rPr>
                      <w:rFonts w:hint="eastAsia" w:ascii="仿宋" w:hAnsi="仿宋" w:eastAsia="仿宋" w:cs="仿宋"/>
                      <w:color w:val="000000" w:themeColor="text1"/>
                      <w:kern w:val="0"/>
                      <w:sz w:val="30"/>
                      <w:szCs w:val="30"/>
                      <w:lang w:val="en-US" w:eastAsia="zh-CN" w:bidi="ar-SA"/>
                      <w14:textFill>
                        <w14:solidFill>
                          <w14:schemeClr w14:val="tx1"/>
                        </w14:solidFill>
                      </w14:textFill>
                    </w:rPr>
                    <w:t>数 量</w:t>
                  </w:r>
                </w:p>
              </w:tc>
              <w:tc>
                <w:tcPr>
                  <w:tcW w:w="1225" w:type="dxa"/>
                </w:tcPr>
                <w:p w14:paraId="2C4D595D">
                  <w:pPr>
                    <w:keepNext w:val="0"/>
                    <w:keepLines w:val="0"/>
                    <w:pageBreakBefore w:val="0"/>
                    <w:kinsoku/>
                    <w:wordWrap/>
                    <w:overflowPunct/>
                    <w:topLinePunct w:val="0"/>
                    <w:autoSpaceDE/>
                    <w:autoSpaceDN/>
                    <w:bidi w:val="0"/>
                    <w:jc w:val="both"/>
                    <w:rPr>
                      <w:rFonts w:hint="default" w:ascii="仿宋" w:hAnsi="仿宋" w:eastAsia="仿宋" w:cs="仿宋"/>
                      <w:color w:val="000000" w:themeColor="text1"/>
                      <w:kern w:val="0"/>
                      <w:sz w:val="30"/>
                      <w:szCs w:val="30"/>
                      <w:lang w:val="en-US" w:eastAsia="zh-CN" w:bidi="ar-SA"/>
                      <w14:textFill>
                        <w14:solidFill>
                          <w14:schemeClr w14:val="tx1"/>
                        </w14:solidFill>
                      </w14:textFill>
                    </w:rPr>
                  </w:pPr>
                  <w:r>
                    <w:rPr>
                      <w:rFonts w:hint="eastAsia" w:ascii="仿宋" w:hAnsi="仿宋" w:eastAsia="仿宋" w:cs="仿宋"/>
                      <w:color w:val="000000" w:themeColor="text1"/>
                      <w:kern w:val="0"/>
                      <w:sz w:val="30"/>
                      <w:szCs w:val="30"/>
                      <w:lang w:val="en-US" w:eastAsia="zh-CN" w:bidi="ar-SA"/>
                      <w14:textFill>
                        <w14:solidFill>
                          <w14:schemeClr w14:val="tx1"/>
                        </w14:solidFill>
                      </w14:textFill>
                    </w:rPr>
                    <w:t>单价</w:t>
                  </w:r>
                </w:p>
              </w:tc>
              <w:tc>
                <w:tcPr>
                  <w:tcW w:w="874" w:type="dxa"/>
                </w:tcPr>
                <w:p w14:paraId="3C4BF59F">
                  <w:pPr>
                    <w:keepNext w:val="0"/>
                    <w:keepLines w:val="0"/>
                    <w:pageBreakBefore w:val="0"/>
                    <w:kinsoku/>
                    <w:wordWrap/>
                    <w:overflowPunct/>
                    <w:topLinePunct w:val="0"/>
                    <w:autoSpaceDE/>
                    <w:autoSpaceDN/>
                    <w:bidi w:val="0"/>
                    <w:jc w:val="both"/>
                    <w:rPr>
                      <w:rFonts w:hint="eastAsia" w:ascii="仿宋" w:hAnsi="仿宋" w:eastAsia="仿宋" w:cs="仿宋"/>
                      <w:color w:val="000000" w:themeColor="text1"/>
                      <w:kern w:val="0"/>
                      <w:sz w:val="30"/>
                      <w:szCs w:val="30"/>
                      <w:lang w:val="en-US" w:eastAsia="zh-CN" w:bidi="ar-SA"/>
                      <w14:textFill>
                        <w14:solidFill>
                          <w14:schemeClr w14:val="tx1"/>
                        </w14:solidFill>
                      </w14:textFill>
                    </w:rPr>
                  </w:pPr>
                  <w:r>
                    <w:rPr>
                      <w:rFonts w:hint="eastAsia" w:ascii="仿宋" w:hAnsi="仿宋" w:eastAsia="仿宋" w:cs="仿宋"/>
                      <w:color w:val="000000" w:themeColor="text1"/>
                      <w:kern w:val="0"/>
                      <w:sz w:val="30"/>
                      <w:szCs w:val="30"/>
                      <w:lang w:val="en-US" w:eastAsia="zh-CN" w:bidi="ar-SA"/>
                      <w14:textFill>
                        <w14:solidFill>
                          <w14:schemeClr w14:val="tx1"/>
                        </w14:solidFill>
                      </w14:textFill>
                    </w:rPr>
                    <w:t>总价</w:t>
                  </w:r>
                </w:p>
              </w:tc>
              <w:tc>
                <w:tcPr>
                  <w:tcW w:w="1244" w:type="dxa"/>
                </w:tcPr>
                <w:p w14:paraId="55187EE9">
                  <w:pPr>
                    <w:keepNext w:val="0"/>
                    <w:keepLines w:val="0"/>
                    <w:pageBreakBefore w:val="0"/>
                    <w:kinsoku/>
                    <w:wordWrap/>
                    <w:overflowPunct/>
                    <w:topLinePunct w:val="0"/>
                    <w:autoSpaceDE/>
                    <w:autoSpaceDN/>
                    <w:bidi w:val="0"/>
                    <w:jc w:val="both"/>
                    <w:rPr>
                      <w:rFonts w:hint="eastAsia" w:ascii="仿宋" w:hAnsi="仿宋" w:eastAsia="仿宋" w:cs="仿宋"/>
                      <w:color w:val="000000" w:themeColor="text1"/>
                      <w:kern w:val="0"/>
                      <w:sz w:val="30"/>
                      <w:szCs w:val="30"/>
                      <w:lang w:val="en-US" w:eastAsia="zh-CN" w:bidi="ar-SA"/>
                      <w14:textFill>
                        <w14:solidFill>
                          <w14:schemeClr w14:val="tx1"/>
                        </w14:solidFill>
                      </w14:textFill>
                    </w:rPr>
                  </w:pPr>
                  <w:r>
                    <w:rPr>
                      <w:rFonts w:hint="eastAsia" w:ascii="仿宋" w:hAnsi="仿宋" w:eastAsia="仿宋" w:cs="仿宋"/>
                      <w:color w:val="000000" w:themeColor="text1"/>
                      <w:kern w:val="0"/>
                      <w:sz w:val="30"/>
                      <w:szCs w:val="30"/>
                      <w:lang w:val="en-US" w:eastAsia="zh-CN" w:bidi="ar-SA"/>
                      <w14:textFill>
                        <w14:solidFill>
                          <w14:schemeClr w14:val="tx1"/>
                        </w14:solidFill>
                      </w14:textFill>
                    </w:rPr>
                    <w:t>备 注</w:t>
                  </w:r>
                </w:p>
              </w:tc>
            </w:tr>
            <w:tr w14:paraId="3D7B1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8" w:hRule="atLeast"/>
              </w:trPr>
              <w:tc>
                <w:tcPr>
                  <w:tcW w:w="2062" w:type="dxa"/>
                </w:tcPr>
                <w:p w14:paraId="1B142377">
                  <w:pPr>
                    <w:keepNext w:val="0"/>
                    <w:keepLines w:val="0"/>
                    <w:pageBreakBefore w:val="0"/>
                    <w:tabs>
                      <w:tab w:val="left" w:pos="617"/>
                    </w:tabs>
                    <w:kinsoku/>
                    <w:wordWrap/>
                    <w:overflowPunct/>
                    <w:topLinePunct w:val="0"/>
                    <w:autoSpaceDE/>
                    <w:autoSpaceDN/>
                    <w:bidi w:val="0"/>
                    <w:rPr>
                      <w:rFonts w:hint="default" w:ascii="仿宋" w:hAnsi="仿宋" w:eastAsia="仿宋" w:cs="仿宋"/>
                      <w:color w:val="000000" w:themeColor="text1"/>
                      <w:kern w:val="0"/>
                      <w:sz w:val="30"/>
                      <w:szCs w:val="30"/>
                      <w:lang w:val="en-US" w:eastAsia="zh-CN" w:bidi="ar-SA"/>
                      <w14:textFill>
                        <w14:solidFill>
                          <w14:schemeClr w14:val="tx1"/>
                        </w14:solidFill>
                      </w14:textFill>
                    </w:rPr>
                  </w:pPr>
                  <w:r>
                    <w:rPr>
                      <w:rFonts w:hint="eastAsia" w:ascii="仿宋" w:hAnsi="仿宋" w:eastAsia="仿宋" w:cs="仿宋"/>
                      <w:color w:val="000000" w:themeColor="text1"/>
                      <w:kern w:val="0"/>
                      <w:sz w:val="30"/>
                      <w:szCs w:val="30"/>
                      <w:lang w:val="en-US" w:eastAsia="zh-CN" w:bidi="ar-SA"/>
                      <w14:textFill>
                        <w14:solidFill>
                          <w14:schemeClr w14:val="tx1"/>
                        </w14:solidFill>
                      </w14:textFill>
                    </w:rPr>
                    <w:t>烟感报警器</w:t>
                  </w:r>
                </w:p>
              </w:tc>
              <w:tc>
                <w:tcPr>
                  <w:tcW w:w="1584" w:type="dxa"/>
                </w:tcPr>
                <w:p w14:paraId="20F0D694">
                  <w:pPr>
                    <w:keepNext w:val="0"/>
                    <w:keepLines w:val="0"/>
                    <w:pageBreakBefore w:val="0"/>
                    <w:kinsoku/>
                    <w:wordWrap/>
                    <w:overflowPunct/>
                    <w:topLinePunct w:val="0"/>
                    <w:autoSpaceDE/>
                    <w:autoSpaceDN/>
                    <w:bidi w:val="0"/>
                    <w:jc w:val="both"/>
                    <w:rPr>
                      <w:rFonts w:hint="default" w:ascii="仿宋" w:hAnsi="仿宋" w:eastAsia="仿宋" w:cs="仿宋"/>
                      <w:color w:val="000000" w:themeColor="text1"/>
                      <w:kern w:val="0"/>
                      <w:sz w:val="30"/>
                      <w:szCs w:val="30"/>
                      <w:lang w:val="en-US" w:eastAsia="zh-CN" w:bidi="ar-SA"/>
                      <w14:textFill>
                        <w14:solidFill>
                          <w14:schemeClr w14:val="tx1"/>
                        </w14:solidFill>
                      </w14:textFill>
                    </w:rPr>
                  </w:pPr>
                  <w:r>
                    <w:rPr>
                      <w:rFonts w:hint="eastAsia" w:ascii="仿宋" w:hAnsi="仿宋" w:eastAsia="仿宋" w:cs="仿宋"/>
                      <w:color w:val="000000" w:themeColor="text1"/>
                      <w:kern w:val="0"/>
                      <w:sz w:val="30"/>
                      <w:szCs w:val="30"/>
                      <w:lang w:val="en-US" w:eastAsia="zh-CN" w:bidi="ar-SA"/>
                      <w14:textFill>
                        <w14:solidFill>
                          <w14:schemeClr w14:val="tx1"/>
                        </w14:solidFill>
                      </w14:textFill>
                    </w:rPr>
                    <w:t>杭州拓深、宇旷、卓羽</w:t>
                  </w:r>
                </w:p>
              </w:tc>
              <w:tc>
                <w:tcPr>
                  <w:tcW w:w="2148" w:type="dxa"/>
                </w:tcPr>
                <w:p w14:paraId="44FA0586">
                  <w:pPr>
                    <w:keepNext w:val="0"/>
                    <w:keepLines w:val="0"/>
                    <w:pageBreakBefore w:val="0"/>
                    <w:kinsoku/>
                    <w:wordWrap/>
                    <w:overflowPunct/>
                    <w:topLinePunct w:val="0"/>
                    <w:autoSpaceDE/>
                    <w:autoSpaceDN/>
                    <w:bidi w:val="0"/>
                    <w:ind w:firstLine="600" w:firstLineChars="200"/>
                    <w:rPr>
                      <w:rFonts w:hint="default" w:ascii="仿宋" w:hAnsi="仿宋" w:eastAsia="仿宋" w:cs="仿宋"/>
                      <w:color w:val="000000" w:themeColor="text1"/>
                      <w:kern w:val="0"/>
                      <w:sz w:val="30"/>
                      <w:szCs w:val="30"/>
                      <w:lang w:val="en-US" w:eastAsia="zh-CN" w:bidi="ar-SA"/>
                      <w14:textFill>
                        <w14:solidFill>
                          <w14:schemeClr w14:val="tx1"/>
                        </w14:solidFill>
                      </w14:textFill>
                    </w:rPr>
                  </w:pPr>
                  <w:r>
                    <w:rPr>
                      <w:rFonts w:hint="eastAsia" w:ascii="仿宋" w:hAnsi="仿宋" w:eastAsia="仿宋" w:cs="仿宋"/>
                      <w:color w:val="000000" w:themeColor="text1"/>
                      <w:kern w:val="0"/>
                      <w:sz w:val="30"/>
                      <w:szCs w:val="30"/>
                      <w:lang w:val="en-US" w:eastAsia="zh-CN" w:bidi="ar-SA"/>
                      <w14:textFill>
                        <w14:solidFill>
                          <w14:schemeClr w14:val="tx1"/>
                        </w14:solidFill>
                      </w14:textFill>
                    </w:rPr>
                    <w:t>140</w:t>
                  </w:r>
                </w:p>
              </w:tc>
              <w:tc>
                <w:tcPr>
                  <w:tcW w:w="1225" w:type="dxa"/>
                </w:tcPr>
                <w:p w14:paraId="19FFAF08">
                  <w:pPr>
                    <w:keepNext w:val="0"/>
                    <w:keepLines w:val="0"/>
                    <w:pageBreakBefore w:val="0"/>
                    <w:kinsoku/>
                    <w:wordWrap/>
                    <w:overflowPunct/>
                    <w:topLinePunct w:val="0"/>
                    <w:autoSpaceDE/>
                    <w:autoSpaceDN/>
                    <w:bidi w:val="0"/>
                    <w:ind w:firstLine="600" w:firstLineChars="200"/>
                    <w:jc w:val="center"/>
                    <w:rPr>
                      <w:rFonts w:hint="eastAsia" w:ascii="仿宋" w:hAnsi="仿宋" w:eastAsia="仿宋" w:cs="仿宋"/>
                      <w:color w:val="000000" w:themeColor="text1"/>
                      <w:kern w:val="0"/>
                      <w:sz w:val="30"/>
                      <w:szCs w:val="30"/>
                      <w:lang w:val="en-US" w:eastAsia="zh-CN" w:bidi="ar-SA"/>
                      <w14:textFill>
                        <w14:solidFill>
                          <w14:schemeClr w14:val="tx1"/>
                        </w14:solidFill>
                      </w14:textFill>
                    </w:rPr>
                  </w:pPr>
                </w:p>
              </w:tc>
              <w:tc>
                <w:tcPr>
                  <w:tcW w:w="874" w:type="dxa"/>
                </w:tcPr>
                <w:p w14:paraId="08C8B8D5">
                  <w:pPr>
                    <w:keepNext w:val="0"/>
                    <w:keepLines w:val="0"/>
                    <w:pageBreakBefore w:val="0"/>
                    <w:kinsoku/>
                    <w:wordWrap/>
                    <w:overflowPunct/>
                    <w:topLinePunct w:val="0"/>
                    <w:autoSpaceDE/>
                    <w:autoSpaceDN/>
                    <w:bidi w:val="0"/>
                    <w:ind w:firstLine="600" w:firstLineChars="200"/>
                    <w:jc w:val="center"/>
                    <w:rPr>
                      <w:rFonts w:hint="eastAsia" w:ascii="仿宋" w:hAnsi="仿宋" w:eastAsia="仿宋" w:cs="仿宋"/>
                      <w:color w:val="000000" w:themeColor="text1"/>
                      <w:kern w:val="0"/>
                      <w:sz w:val="30"/>
                      <w:szCs w:val="30"/>
                      <w:lang w:val="en-US" w:eastAsia="zh-CN" w:bidi="ar-SA"/>
                      <w14:textFill>
                        <w14:solidFill>
                          <w14:schemeClr w14:val="tx1"/>
                        </w14:solidFill>
                      </w14:textFill>
                    </w:rPr>
                  </w:pPr>
                </w:p>
              </w:tc>
              <w:tc>
                <w:tcPr>
                  <w:tcW w:w="1244" w:type="dxa"/>
                </w:tcPr>
                <w:p w14:paraId="6019A92D">
                  <w:pPr>
                    <w:keepNext w:val="0"/>
                    <w:keepLines w:val="0"/>
                    <w:pageBreakBefore w:val="0"/>
                    <w:kinsoku/>
                    <w:wordWrap/>
                    <w:overflowPunct/>
                    <w:topLinePunct w:val="0"/>
                    <w:autoSpaceDE/>
                    <w:autoSpaceDN/>
                    <w:bidi w:val="0"/>
                    <w:ind w:firstLine="600" w:firstLineChars="200"/>
                    <w:jc w:val="center"/>
                    <w:rPr>
                      <w:rFonts w:hint="eastAsia" w:ascii="仿宋" w:hAnsi="仿宋" w:eastAsia="仿宋" w:cs="仿宋"/>
                      <w:color w:val="000000" w:themeColor="text1"/>
                      <w:kern w:val="0"/>
                      <w:sz w:val="30"/>
                      <w:szCs w:val="30"/>
                      <w:lang w:val="en-US" w:eastAsia="zh-CN" w:bidi="ar-SA"/>
                      <w14:textFill>
                        <w14:solidFill>
                          <w14:schemeClr w14:val="tx1"/>
                        </w14:solidFill>
                      </w14:textFill>
                    </w:rPr>
                  </w:pPr>
                </w:p>
              </w:tc>
            </w:tr>
            <w:tr w14:paraId="33D0D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8" w:hRule="atLeast"/>
              </w:trPr>
              <w:tc>
                <w:tcPr>
                  <w:tcW w:w="2062" w:type="dxa"/>
                </w:tcPr>
                <w:p w14:paraId="0298632E">
                  <w:pPr>
                    <w:keepNext w:val="0"/>
                    <w:keepLines w:val="0"/>
                    <w:pageBreakBefore w:val="0"/>
                    <w:kinsoku/>
                    <w:wordWrap/>
                    <w:overflowPunct/>
                    <w:topLinePunct w:val="0"/>
                    <w:autoSpaceDE/>
                    <w:autoSpaceDN/>
                    <w:bidi w:val="0"/>
                    <w:ind w:firstLine="600" w:firstLineChars="200"/>
                    <w:jc w:val="center"/>
                    <w:rPr>
                      <w:rFonts w:hint="default" w:ascii="仿宋" w:hAnsi="仿宋" w:eastAsia="仿宋" w:cs="仿宋"/>
                      <w:color w:val="000000" w:themeColor="text1"/>
                      <w:kern w:val="0"/>
                      <w:sz w:val="30"/>
                      <w:szCs w:val="30"/>
                      <w:lang w:val="en-US" w:eastAsia="zh-CN" w:bidi="ar-SA"/>
                      <w14:textFill>
                        <w14:solidFill>
                          <w14:schemeClr w14:val="tx1"/>
                        </w14:solidFill>
                      </w14:textFill>
                    </w:rPr>
                  </w:pPr>
                </w:p>
              </w:tc>
              <w:tc>
                <w:tcPr>
                  <w:tcW w:w="1584" w:type="dxa"/>
                </w:tcPr>
                <w:p w14:paraId="64F81335">
                  <w:pPr>
                    <w:keepNext w:val="0"/>
                    <w:keepLines w:val="0"/>
                    <w:pageBreakBefore w:val="0"/>
                    <w:kinsoku/>
                    <w:wordWrap/>
                    <w:overflowPunct/>
                    <w:topLinePunct w:val="0"/>
                    <w:autoSpaceDE/>
                    <w:autoSpaceDN/>
                    <w:bidi w:val="0"/>
                    <w:ind w:firstLine="600" w:firstLineChars="200"/>
                    <w:jc w:val="center"/>
                    <w:rPr>
                      <w:rFonts w:hint="eastAsia" w:ascii="仿宋" w:hAnsi="仿宋" w:eastAsia="仿宋" w:cs="仿宋"/>
                      <w:color w:val="000000" w:themeColor="text1"/>
                      <w:kern w:val="0"/>
                      <w:sz w:val="30"/>
                      <w:szCs w:val="30"/>
                      <w:lang w:val="en-US" w:eastAsia="zh-CN" w:bidi="ar-SA"/>
                      <w14:textFill>
                        <w14:solidFill>
                          <w14:schemeClr w14:val="tx1"/>
                        </w14:solidFill>
                      </w14:textFill>
                    </w:rPr>
                  </w:pPr>
                </w:p>
              </w:tc>
              <w:tc>
                <w:tcPr>
                  <w:tcW w:w="2148" w:type="dxa"/>
                </w:tcPr>
                <w:p w14:paraId="703DB725">
                  <w:pPr>
                    <w:keepNext w:val="0"/>
                    <w:keepLines w:val="0"/>
                    <w:pageBreakBefore w:val="0"/>
                    <w:kinsoku/>
                    <w:wordWrap/>
                    <w:overflowPunct/>
                    <w:topLinePunct w:val="0"/>
                    <w:autoSpaceDE/>
                    <w:autoSpaceDN/>
                    <w:bidi w:val="0"/>
                    <w:ind w:firstLine="600" w:firstLineChars="200"/>
                    <w:jc w:val="center"/>
                    <w:rPr>
                      <w:rFonts w:hint="default" w:ascii="仿宋" w:hAnsi="仿宋" w:eastAsia="仿宋" w:cs="仿宋"/>
                      <w:color w:val="000000" w:themeColor="text1"/>
                      <w:kern w:val="0"/>
                      <w:sz w:val="30"/>
                      <w:szCs w:val="30"/>
                      <w:lang w:val="en-US" w:eastAsia="zh-CN" w:bidi="ar-SA"/>
                      <w14:textFill>
                        <w14:solidFill>
                          <w14:schemeClr w14:val="tx1"/>
                        </w14:solidFill>
                      </w14:textFill>
                    </w:rPr>
                  </w:pPr>
                </w:p>
              </w:tc>
              <w:tc>
                <w:tcPr>
                  <w:tcW w:w="1225" w:type="dxa"/>
                </w:tcPr>
                <w:p w14:paraId="1E885827">
                  <w:pPr>
                    <w:keepNext w:val="0"/>
                    <w:keepLines w:val="0"/>
                    <w:pageBreakBefore w:val="0"/>
                    <w:kinsoku/>
                    <w:wordWrap/>
                    <w:overflowPunct/>
                    <w:topLinePunct w:val="0"/>
                    <w:autoSpaceDE/>
                    <w:autoSpaceDN/>
                    <w:bidi w:val="0"/>
                    <w:ind w:firstLine="600" w:firstLineChars="200"/>
                    <w:jc w:val="center"/>
                    <w:rPr>
                      <w:rFonts w:hint="eastAsia" w:ascii="仿宋" w:hAnsi="仿宋" w:eastAsia="仿宋" w:cs="仿宋"/>
                      <w:color w:val="000000" w:themeColor="text1"/>
                      <w:kern w:val="0"/>
                      <w:sz w:val="30"/>
                      <w:szCs w:val="30"/>
                      <w:lang w:val="en-US" w:eastAsia="zh-CN" w:bidi="ar-SA"/>
                      <w14:textFill>
                        <w14:solidFill>
                          <w14:schemeClr w14:val="tx1"/>
                        </w14:solidFill>
                      </w14:textFill>
                    </w:rPr>
                  </w:pPr>
                </w:p>
              </w:tc>
              <w:tc>
                <w:tcPr>
                  <w:tcW w:w="874" w:type="dxa"/>
                </w:tcPr>
                <w:p w14:paraId="4931A4BD">
                  <w:pPr>
                    <w:keepNext w:val="0"/>
                    <w:keepLines w:val="0"/>
                    <w:pageBreakBefore w:val="0"/>
                    <w:kinsoku/>
                    <w:wordWrap/>
                    <w:overflowPunct/>
                    <w:topLinePunct w:val="0"/>
                    <w:autoSpaceDE/>
                    <w:autoSpaceDN/>
                    <w:bidi w:val="0"/>
                    <w:ind w:firstLine="600" w:firstLineChars="200"/>
                    <w:jc w:val="center"/>
                    <w:rPr>
                      <w:rFonts w:hint="eastAsia" w:ascii="仿宋" w:hAnsi="仿宋" w:eastAsia="仿宋" w:cs="仿宋"/>
                      <w:color w:val="000000" w:themeColor="text1"/>
                      <w:kern w:val="0"/>
                      <w:sz w:val="30"/>
                      <w:szCs w:val="30"/>
                      <w:lang w:val="en-US" w:eastAsia="zh-CN" w:bidi="ar-SA"/>
                      <w14:textFill>
                        <w14:solidFill>
                          <w14:schemeClr w14:val="tx1"/>
                        </w14:solidFill>
                      </w14:textFill>
                    </w:rPr>
                  </w:pPr>
                </w:p>
              </w:tc>
              <w:tc>
                <w:tcPr>
                  <w:tcW w:w="1244" w:type="dxa"/>
                </w:tcPr>
                <w:p w14:paraId="00DDB801">
                  <w:pPr>
                    <w:keepNext w:val="0"/>
                    <w:keepLines w:val="0"/>
                    <w:pageBreakBefore w:val="0"/>
                    <w:kinsoku/>
                    <w:wordWrap/>
                    <w:overflowPunct/>
                    <w:topLinePunct w:val="0"/>
                    <w:autoSpaceDE/>
                    <w:autoSpaceDN/>
                    <w:bidi w:val="0"/>
                    <w:ind w:firstLine="600" w:firstLineChars="200"/>
                    <w:jc w:val="center"/>
                    <w:rPr>
                      <w:rFonts w:hint="eastAsia" w:ascii="仿宋" w:hAnsi="仿宋" w:eastAsia="仿宋" w:cs="仿宋"/>
                      <w:color w:val="000000" w:themeColor="text1"/>
                      <w:kern w:val="0"/>
                      <w:sz w:val="30"/>
                      <w:szCs w:val="30"/>
                      <w:lang w:val="en-US" w:eastAsia="zh-CN" w:bidi="ar-SA"/>
                      <w14:textFill>
                        <w14:solidFill>
                          <w14:schemeClr w14:val="tx1"/>
                        </w14:solidFill>
                      </w14:textFill>
                    </w:rPr>
                  </w:pPr>
                </w:p>
              </w:tc>
            </w:tr>
            <w:tr w14:paraId="0AD25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8" w:hRule="atLeast"/>
              </w:trPr>
              <w:tc>
                <w:tcPr>
                  <w:tcW w:w="2062" w:type="dxa"/>
                </w:tcPr>
                <w:p w14:paraId="3D0707BC">
                  <w:pPr>
                    <w:keepNext w:val="0"/>
                    <w:keepLines w:val="0"/>
                    <w:pageBreakBefore w:val="0"/>
                    <w:kinsoku/>
                    <w:wordWrap/>
                    <w:overflowPunct/>
                    <w:topLinePunct w:val="0"/>
                    <w:autoSpaceDE/>
                    <w:autoSpaceDN/>
                    <w:bidi w:val="0"/>
                    <w:ind w:firstLine="600" w:firstLineChars="200"/>
                    <w:jc w:val="center"/>
                    <w:rPr>
                      <w:rFonts w:hint="eastAsia" w:ascii="仿宋" w:hAnsi="仿宋" w:eastAsia="仿宋" w:cs="仿宋"/>
                      <w:color w:val="000000" w:themeColor="text1"/>
                      <w:kern w:val="0"/>
                      <w:sz w:val="30"/>
                      <w:szCs w:val="30"/>
                      <w:lang w:val="en-US" w:eastAsia="zh-CN" w:bidi="ar-SA"/>
                      <w14:textFill>
                        <w14:solidFill>
                          <w14:schemeClr w14:val="tx1"/>
                        </w14:solidFill>
                      </w14:textFill>
                    </w:rPr>
                  </w:pPr>
                </w:p>
              </w:tc>
              <w:tc>
                <w:tcPr>
                  <w:tcW w:w="1584" w:type="dxa"/>
                </w:tcPr>
                <w:p w14:paraId="49A9BF88">
                  <w:pPr>
                    <w:keepNext w:val="0"/>
                    <w:keepLines w:val="0"/>
                    <w:pageBreakBefore w:val="0"/>
                    <w:kinsoku/>
                    <w:wordWrap/>
                    <w:overflowPunct/>
                    <w:topLinePunct w:val="0"/>
                    <w:autoSpaceDE/>
                    <w:autoSpaceDN/>
                    <w:bidi w:val="0"/>
                    <w:ind w:firstLine="600" w:firstLineChars="200"/>
                    <w:jc w:val="center"/>
                    <w:rPr>
                      <w:rFonts w:hint="eastAsia" w:ascii="仿宋" w:hAnsi="仿宋" w:eastAsia="仿宋" w:cs="仿宋"/>
                      <w:color w:val="000000" w:themeColor="text1"/>
                      <w:kern w:val="0"/>
                      <w:sz w:val="30"/>
                      <w:szCs w:val="30"/>
                      <w:lang w:val="en-US" w:eastAsia="zh-CN" w:bidi="ar-SA"/>
                      <w14:textFill>
                        <w14:solidFill>
                          <w14:schemeClr w14:val="tx1"/>
                        </w14:solidFill>
                      </w14:textFill>
                    </w:rPr>
                  </w:pPr>
                </w:p>
              </w:tc>
              <w:tc>
                <w:tcPr>
                  <w:tcW w:w="2148" w:type="dxa"/>
                </w:tcPr>
                <w:p w14:paraId="04F9DB16">
                  <w:pPr>
                    <w:keepNext w:val="0"/>
                    <w:keepLines w:val="0"/>
                    <w:pageBreakBefore w:val="0"/>
                    <w:kinsoku/>
                    <w:wordWrap/>
                    <w:overflowPunct/>
                    <w:topLinePunct w:val="0"/>
                    <w:autoSpaceDE/>
                    <w:autoSpaceDN/>
                    <w:bidi w:val="0"/>
                    <w:ind w:firstLine="600" w:firstLineChars="200"/>
                    <w:jc w:val="center"/>
                    <w:rPr>
                      <w:rFonts w:hint="eastAsia" w:ascii="仿宋" w:hAnsi="仿宋" w:eastAsia="仿宋" w:cs="仿宋"/>
                      <w:color w:val="000000" w:themeColor="text1"/>
                      <w:kern w:val="0"/>
                      <w:sz w:val="30"/>
                      <w:szCs w:val="30"/>
                      <w:lang w:val="en-US" w:eastAsia="zh-CN" w:bidi="ar-SA"/>
                      <w14:textFill>
                        <w14:solidFill>
                          <w14:schemeClr w14:val="tx1"/>
                        </w14:solidFill>
                      </w14:textFill>
                    </w:rPr>
                  </w:pPr>
                </w:p>
              </w:tc>
              <w:tc>
                <w:tcPr>
                  <w:tcW w:w="1225" w:type="dxa"/>
                </w:tcPr>
                <w:p w14:paraId="2070B952">
                  <w:pPr>
                    <w:keepNext w:val="0"/>
                    <w:keepLines w:val="0"/>
                    <w:pageBreakBefore w:val="0"/>
                    <w:kinsoku/>
                    <w:wordWrap/>
                    <w:overflowPunct/>
                    <w:topLinePunct w:val="0"/>
                    <w:autoSpaceDE/>
                    <w:autoSpaceDN/>
                    <w:bidi w:val="0"/>
                    <w:ind w:firstLine="600" w:firstLineChars="200"/>
                    <w:jc w:val="center"/>
                    <w:rPr>
                      <w:rFonts w:hint="eastAsia" w:ascii="仿宋" w:hAnsi="仿宋" w:eastAsia="仿宋" w:cs="仿宋"/>
                      <w:color w:val="000000" w:themeColor="text1"/>
                      <w:kern w:val="0"/>
                      <w:sz w:val="30"/>
                      <w:szCs w:val="30"/>
                      <w:lang w:val="en-US" w:eastAsia="zh-CN" w:bidi="ar-SA"/>
                      <w14:textFill>
                        <w14:solidFill>
                          <w14:schemeClr w14:val="tx1"/>
                        </w14:solidFill>
                      </w14:textFill>
                    </w:rPr>
                  </w:pPr>
                </w:p>
              </w:tc>
              <w:tc>
                <w:tcPr>
                  <w:tcW w:w="874" w:type="dxa"/>
                </w:tcPr>
                <w:p w14:paraId="2382D66C">
                  <w:pPr>
                    <w:keepNext w:val="0"/>
                    <w:keepLines w:val="0"/>
                    <w:pageBreakBefore w:val="0"/>
                    <w:kinsoku/>
                    <w:wordWrap/>
                    <w:overflowPunct/>
                    <w:topLinePunct w:val="0"/>
                    <w:autoSpaceDE/>
                    <w:autoSpaceDN/>
                    <w:bidi w:val="0"/>
                    <w:ind w:firstLine="600" w:firstLineChars="200"/>
                    <w:jc w:val="center"/>
                    <w:rPr>
                      <w:rFonts w:hint="eastAsia" w:ascii="仿宋" w:hAnsi="仿宋" w:eastAsia="仿宋" w:cs="仿宋"/>
                      <w:color w:val="000000" w:themeColor="text1"/>
                      <w:kern w:val="0"/>
                      <w:sz w:val="30"/>
                      <w:szCs w:val="30"/>
                      <w:lang w:val="en-US" w:eastAsia="zh-CN" w:bidi="ar-SA"/>
                      <w14:textFill>
                        <w14:solidFill>
                          <w14:schemeClr w14:val="tx1"/>
                        </w14:solidFill>
                      </w14:textFill>
                    </w:rPr>
                  </w:pPr>
                </w:p>
              </w:tc>
              <w:tc>
                <w:tcPr>
                  <w:tcW w:w="1244" w:type="dxa"/>
                </w:tcPr>
                <w:p w14:paraId="5E10D3B8">
                  <w:pPr>
                    <w:keepNext w:val="0"/>
                    <w:keepLines w:val="0"/>
                    <w:pageBreakBefore w:val="0"/>
                    <w:kinsoku/>
                    <w:wordWrap/>
                    <w:overflowPunct/>
                    <w:topLinePunct w:val="0"/>
                    <w:autoSpaceDE/>
                    <w:autoSpaceDN/>
                    <w:bidi w:val="0"/>
                    <w:ind w:firstLine="600" w:firstLineChars="200"/>
                    <w:jc w:val="center"/>
                    <w:rPr>
                      <w:rFonts w:hint="eastAsia" w:ascii="仿宋" w:hAnsi="仿宋" w:eastAsia="仿宋" w:cs="仿宋"/>
                      <w:color w:val="000000" w:themeColor="text1"/>
                      <w:kern w:val="0"/>
                      <w:sz w:val="30"/>
                      <w:szCs w:val="30"/>
                      <w:lang w:val="en-US" w:eastAsia="zh-CN" w:bidi="ar-SA"/>
                      <w14:textFill>
                        <w14:solidFill>
                          <w14:schemeClr w14:val="tx1"/>
                        </w14:solidFill>
                      </w14:textFill>
                    </w:rPr>
                  </w:pPr>
                </w:p>
              </w:tc>
            </w:tr>
            <w:tr w14:paraId="7500E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7019" w:type="dxa"/>
                  <w:gridSpan w:val="4"/>
                </w:tcPr>
                <w:p w14:paraId="12EABE26">
                  <w:pPr>
                    <w:keepNext w:val="0"/>
                    <w:keepLines w:val="0"/>
                    <w:pageBreakBefore w:val="0"/>
                    <w:widowControl/>
                    <w:kinsoku/>
                    <w:wordWrap/>
                    <w:overflowPunct/>
                    <w:topLinePunct w:val="0"/>
                    <w:autoSpaceDE/>
                    <w:autoSpaceDN/>
                    <w:bidi w:val="0"/>
                    <w:ind w:firstLine="600" w:firstLineChars="200"/>
                    <w:jc w:val="left"/>
                    <w:rPr>
                      <w:rFonts w:hint="eastAsia" w:ascii="仿宋" w:hAnsi="仿宋" w:eastAsia="仿宋" w:cs="仿宋"/>
                      <w:color w:val="000000" w:themeColor="text1"/>
                      <w:kern w:val="0"/>
                      <w:sz w:val="30"/>
                      <w:szCs w:val="30"/>
                      <w:lang w:val="en-US" w:eastAsia="zh-CN" w:bidi="ar-SA"/>
                      <w14:textFill>
                        <w14:solidFill>
                          <w14:schemeClr w14:val="tx1"/>
                        </w14:solidFill>
                      </w14:textFill>
                    </w:rPr>
                  </w:pPr>
                  <w:r>
                    <w:rPr>
                      <w:rFonts w:hint="eastAsia" w:ascii="仿宋" w:hAnsi="仿宋" w:eastAsia="仿宋" w:cs="仿宋"/>
                      <w:color w:val="000000" w:themeColor="text1"/>
                      <w:kern w:val="0"/>
                      <w:sz w:val="30"/>
                      <w:szCs w:val="30"/>
                      <w:lang w:val="en-US" w:eastAsia="zh-CN" w:bidi="ar-SA"/>
                      <w14:textFill>
                        <w14:solidFill>
                          <w14:schemeClr w14:val="tx1"/>
                        </w14:solidFill>
                      </w14:textFill>
                    </w:rPr>
                    <w:t>合计：</w:t>
                  </w:r>
                </w:p>
              </w:tc>
              <w:tc>
                <w:tcPr>
                  <w:tcW w:w="874" w:type="dxa"/>
                </w:tcPr>
                <w:p w14:paraId="0D053C07">
                  <w:pPr>
                    <w:keepNext w:val="0"/>
                    <w:keepLines w:val="0"/>
                    <w:pageBreakBefore w:val="0"/>
                    <w:widowControl/>
                    <w:kinsoku/>
                    <w:wordWrap/>
                    <w:overflowPunct/>
                    <w:topLinePunct w:val="0"/>
                    <w:autoSpaceDE/>
                    <w:autoSpaceDN/>
                    <w:bidi w:val="0"/>
                    <w:ind w:firstLine="600" w:firstLineChars="200"/>
                    <w:jc w:val="left"/>
                    <w:rPr>
                      <w:rFonts w:hint="eastAsia" w:ascii="仿宋" w:hAnsi="仿宋" w:eastAsia="仿宋" w:cs="仿宋"/>
                      <w:color w:val="000000" w:themeColor="text1"/>
                      <w:kern w:val="0"/>
                      <w:sz w:val="30"/>
                      <w:szCs w:val="30"/>
                      <w:lang w:val="en-US" w:eastAsia="zh-CN" w:bidi="ar-SA"/>
                      <w14:textFill>
                        <w14:solidFill>
                          <w14:schemeClr w14:val="tx1"/>
                        </w14:solidFill>
                      </w14:textFill>
                    </w:rPr>
                  </w:pPr>
                </w:p>
              </w:tc>
              <w:tc>
                <w:tcPr>
                  <w:tcW w:w="1244" w:type="dxa"/>
                </w:tcPr>
                <w:p w14:paraId="2E08797B">
                  <w:pPr>
                    <w:keepNext w:val="0"/>
                    <w:keepLines w:val="0"/>
                    <w:pageBreakBefore w:val="0"/>
                    <w:widowControl/>
                    <w:kinsoku/>
                    <w:wordWrap/>
                    <w:overflowPunct/>
                    <w:topLinePunct w:val="0"/>
                    <w:autoSpaceDE/>
                    <w:autoSpaceDN/>
                    <w:bidi w:val="0"/>
                    <w:ind w:firstLine="600" w:firstLineChars="200"/>
                    <w:jc w:val="left"/>
                    <w:rPr>
                      <w:rFonts w:hint="eastAsia" w:ascii="仿宋" w:hAnsi="仿宋" w:eastAsia="仿宋" w:cs="仿宋"/>
                      <w:color w:val="000000" w:themeColor="text1"/>
                      <w:kern w:val="0"/>
                      <w:sz w:val="30"/>
                      <w:szCs w:val="30"/>
                      <w:lang w:val="en-US" w:eastAsia="zh-CN" w:bidi="ar-SA"/>
                      <w14:textFill>
                        <w14:solidFill>
                          <w14:schemeClr w14:val="tx1"/>
                        </w14:solidFill>
                      </w14:textFill>
                    </w:rPr>
                  </w:pPr>
                </w:p>
              </w:tc>
            </w:tr>
          </w:tbl>
          <w:p w14:paraId="5FFAE7E5">
            <w:pPr>
              <w:keepNext w:val="0"/>
              <w:keepLines w:val="0"/>
              <w:pageBreakBefore w:val="0"/>
              <w:kinsoku/>
              <w:wordWrap/>
              <w:overflowPunct/>
              <w:topLinePunct w:val="0"/>
              <w:autoSpaceDE/>
              <w:autoSpaceDN/>
              <w:bidi w:val="0"/>
              <w:ind w:left="840" w:right="-34" w:rightChars="-16" w:firstLine="560" w:firstLineChars="200"/>
              <w:rPr>
                <w:rFonts w:hint="eastAsia" w:ascii="仿宋" w:hAnsi="仿宋" w:eastAsia="仿宋" w:cs="仿宋"/>
                <w:color w:val="000000" w:themeColor="text1"/>
                <w:kern w:val="0"/>
                <w:sz w:val="28"/>
                <w:szCs w:val="28"/>
                <w:lang w:val="en-US" w:eastAsia="zh-CN" w:bidi="ar-SA"/>
                <w14:textFill>
                  <w14:solidFill>
                    <w14:schemeClr w14:val="tx1"/>
                  </w14:solidFill>
                </w14:textFill>
              </w:rPr>
            </w:pPr>
          </w:p>
        </w:tc>
      </w:tr>
    </w:tbl>
    <w:p w14:paraId="53794F59">
      <w:pPr>
        <w:keepNext w:val="0"/>
        <w:keepLines w:val="0"/>
        <w:pageBreakBefore w:val="0"/>
        <w:kinsoku/>
        <w:wordWrap/>
        <w:overflowPunct/>
        <w:topLinePunct w:val="0"/>
        <w:autoSpaceDE/>
        <w:autoSpaceDN/>
        <w:bidi w:val="0"/>
        <w:spacing w:line="360" w:lineRule="auto"/>
        <w:ind w:firstLine="640" w:firstLineChars="200"/>
        <w:rPr>
          <w:rFonts w:hint="eastAsia" w:ascii="仿宋" w:hAnsi="仿宋" w:eastAsia="仿宋" w:cs="仿宋"/>
          <w:b w:val="0"/>
          <w:bCs w:val="0"/>
          <w:i w:val="0"/>
          <w:color w:val="000000" w:themeColor="text1"/>
          <w:kern w:val="0"/>
          <w:sz w:val="30"/>
          <w:szCs w:val="30"/>
          <w:lang w:val="en-US" w:eastAsia="zh-CN" w:bidi="ar-SA"/>
          <w14:textFill>
            <w14:solidFill>
              <w14:schemeClr w14:val="tx1"/>
            </w14:solidFill>
          </w14:textFill>
        </w:rPr>
      </w:pPr>
      <w:r>
        <w:rPr>
          <w:rFonts w:hint="eastAsia" w:ascii="仿宋" w:hAnsi="仿宋" w:eastAsia="仿宋" w:cs="仿宋"/>
          <w:color w:val="000000" w:themeColor="text1"/>
          <w:kern w:val="0"/>
          <w:sz w:val="32"/>
          <w:szCs w:val="32"/>
          <w:lang w:val="en-US" w:eastAsia="zh-CN" w:bidi="ar-SA"/>
          <w14:textFill>
            <w14:solidFill>
              <w14:schemeClr w14:val="tx1"/>
            </w14:solidFill>
          </w14:textFill>
        </w:rPr>
        <w:t xml:space="preserve">  备注：</w:t>
      </w:r>
      <w:r>
        <w:rPr>
          <w:rFonts w:hint="eastAsia" w:ascii="仿宋" w:hAnsi="仿宋" w:eastAsia="仿宋" w:cs="仿宋"/>
          <w:b w:val="0"/>
          <w:bCs w:val="0"/>
          <w:i w:val="0"/>
          <w:color w:val="000000" w:themeColor="text1"/>
          <w:kern w:val="0"/>
          <w:sz w:val="30"/>
          <w:szCs w:val="30"/>
          <w:lang w:val="en-US" w:eastAsia="zh-CN" w:bidi="ar-SA"/>
          <w14:textFill>
            <w14:solidFill>
              <w14:schemeClr w14:val="tx1"/>
            </w14:solidFill>
          </w14:textFill>
        </w:rPr>
        <w:t>无线感烟火灾探测器：</w:t>
      </w:r>
    </w:p>
    <w:p w14:paraId="557DDB3A">
      <w:pPr>
        <w:keepNext w:val="0"/>
        <w:keepLines w:val="0"/>
        <w:pageBreakBefore w:val="0"/>
        <w:kinsoku/>
        <w:wordWrap/>
        <w:overflowPunct/>
        <w:topLinePunct w:val="0"/>
        <w:autoSpaceDE/>
        <w:autoSpaceDN/>
        <w:bidi w:val="0"/>
        <w:ind w:firstLine="602" w:firstLineChars="200"/>
        <w:rPr>
          <w:rFonts w:hint="eastAsia" w:ascii="仿宋" w:hAnsi="仿宋" w:eastAsia="仿宋" w:cs="仿宋"/>
          <w:b/>
          <w:bCs/>
          <w:i w:val="0"/>
          <w:color w:val="000000" w:themeColor="text1"/>
          <w:kern w:val="0"/>
          <w:sz w:val="30"/>
          <w:szCs w:val="30"/>
          <w:lang w:val="en-US" w:eastAsia="zh-CN" w:bidi="ar-SA"/>
          <w14:textFill>
            <w14:solidFill>
              <w14:schemeClr w14:val="tx1"/>
            </w14:solidFill>
          </w14:textFill>
        </w:rPr>
      </w:pPr>
      <w:r>
        <w:rPr>
          <w:rFonts w:hint="eastAsia" w:ascii="仿宋" w:hAnsi="仿宋" w:eastAsia="仿宋" w:cs="仿宋"/>
          <w:b/>
          <w:bCs/>
          <w:i w:val="0"/>
          <w:color w:val="000000" w:themeColor="text1"/>
          <w:kern w:val="0"/>
          <w:sz w:val="30"/>
          <w:szCs w:val="30"/>
          <w:lang w:val="en-US" w:eastAsia="zh-CN" w:bidi="ar-SA"/>
          <w14:textFill>
            <w14:solidFill>
              <w14:schemeClr w14:val="tx1"/>
            </w14:solidFill>
          </w14:textFill>
        </w:rPr>
        <w:t>一、技术要求：</w:t>
      </w:r>
    </w:p>
    <w:p w14:paraId="644519BA">
      <w:pPr>
        <w:keepNext w:val="0"/>
        <w:keepLines w:val="0"/>
        <w:pageBreakBefore w:val="0"/>
        <w:kinsoku/>
        <w:wordWrap/>
        <w:overflowPunct/>
        <w:topLinePunct w:val="0"/>
        <w:autoSpaceDE/>
        <w:autoSpaceDN/>
        <w:bidi w:val="0"/>
        <w:ind w:firstLine="600" w:firstLineChars="200"/>
        <w:rPr>
          <w:rFonts w:hint="eastAsia" w:ascii="仿宋" w:hAnsi="仿宋" w:eastAsia="仿宋" w:cs="仿宋"/>
          <w:b w:val="0"/>
          <w:bCs w:val="0"/>
          <w:i w:val="0"/>
          <w:color w:val="000000" w:themeColor="text1"/>
          <w:kern w:val="0"/>
          <w:sz w:val="30"/>
          <w:szCs w:val="30"/>
          <w:lang w:val="en-US" w:eastAsia="zh-CN" w:bidi="ar-SA"/>
          <w14:textFill>
            <w14:solidFill>
              <w14:schemeClr w14:val="tx1"/>
            </w14:solidFill>
          </w14:textFill>
        </w:rPr>
      </w:pPr>
      <w:r>
        <w:rPr>
          <w:rFonts w:hint="eastAsia" w:ascii="仿宋" w:hAnsi="仿宋" w:eastAsia="仿宋" w:cs="仿宋"/>
          <w:b w:val="0"/>
          <w:bCs w:val="0"/>
          <w:i w:val="0"/>
          <w:color w:val="000000" w:themeColor="text1"/>
          <w:kern w:val="0"/>
          <w:sz w:val="30"/>
          <w:szCs w:val="30"/>
          <w:lang w:val="en-US" w:eastAsia="zh-CN" w:bidi="ar-SA"/>
          <w14:textFill>
            <w14:solidFill>
              <w14:schemeClr w14:val="tx1"/>
            </w14:solidFill>
          </w14:textFill>
        </w:rPr>
        <w:t>1.通讯方式 NB-loT（支持移动、联通、电信NB-loT）；</w:t>
      </w:r>
    </w:p>
    <w:p w14:paraId="7D5527B8">
      <w:pPr>
        <w:keepNext w:val="0"/>
        <w:keepLines w:val="0"/>
        <w:pageBreakBefore w:val="0"/>
        <w:kinsoku/>
        <w:wordWrap/>
        <w:overflowPunct/>
        <w:topLinePunct w:val="0"/>
        <w:autoSpaceDE/>
        <w:autoSpaceDN/>
        <w:bidi w:val="0"/>
        <w:ind w:left="300" w:firstLine="600" w:firstLineChars="200"/>
        <w:rPr>
          <w:rFonts w:hint="eastAsia" w:ascii="仿宋" w:hAnsi="仿宋" w:eastAsia="仿宋" w:cs="仿宋"/>
          <w:b w:val="0"/>
          <w:bCs w:val="0"/>
          <w:i w:val="0"/>
          <w:color w:val="000000" w:themeColor="text1"/>
          <w:kern w:val="0"/>
          <w:sz w:val="30"/>
          <w:szCs w:val="30"/>
          <w:lang w:val="en-US" w:eastAsia="zh-CN" w:bidi="ar-SA"/>
          <w14:textFill>
            <w14:solidFill>
              <w14:schemeClr w14:val="tx1"/>
            </w14:solidFill>
          </w14:textFill>
        </w:rPr>
      </w:pPr>
      <w:r>
        <w:rPr>
          <w:rFonts w:hint="eastAsia" w:ascii="仿宋" w:hAnsi="仿宋" w:eastAsia="仿宋" w:cs="仿宋"/>
          <w:b w:val="0"/>
          <w:bCs w:val="0"/>
          <w:i w:val="0"/>
          <w:color w:val="000000" w:themeColor="text1"/>
          <w:kern w:val="0"/>
          <w:sz w:val="30"/>
          <w:szCs w:val="30"/>
          <w:lang w:val="en-US" w:eastAsia="zh-CN" w:bidi="ar-SA"/>
          <w14:textFill>
            <w14:solidFill>
              <w14:schemeClr w14:val="tx1"/>
            </w14:solidFill>
          </w14:textFill>
        </w:rPr>
        <w:t>2.设备能够监测探测周围环境温度，当温度超过设定的报警阀值时报警，并将报警信息上传管理平台；</w:t>
      </w:r>
    </w:p>
    <w:p w14:paraId="306E79E5">
      <w:pPr>
        <w:keepNext w:val="0"/>
        <w:keepLines w:val="0"/>
        <w:pageBreakBefore w:val="0"/>
        <w:kinsoku/>
        <w:wordWrap/>
        <w:overflowPunct/>
        <w:topLinePunct w:val="0"/>
        <w:autoSpaceDE/>
        <w:autoSpaceDN/>
        <w:bidi w:val="0"/>
        <w:ind w:left="300" w:firstLine="600" w:firstLineChars="200"/>
        <w:rPr>
          <w:rFonts w:hint="eastAsia" w:ascii="仿宋" w:hAnsi="仿宋" w:eastAsia="仿宋" w:cs="仿宋"/>
          <w:b w:val="0"/>
          <w:bCs w:val="0"/>
          <w:i w:val="0"/>
          <w:color w:val="000000" w:themeColor="text1"/>
          <w:kern w:val="0"/>
          <w:sz w:val="30"/>
          <w:szCs w:val="30"/>
          <w:lang w:val="en-US" w:eastAsia="zh-CN" w:bidi="ar-SA"/>
          <w14:textFill>
            <w14:solidFill>
              <w14:schemeClr w14:val="tx1"/>
            </w14:solidFill>
          </w14:textFill>
        </w:rPr>
      </w:pPr>
      <w:r>
        <w:rPr>
          <w:rFonts w:hint="eastAsia" w:ascii="仿宋" w:hAnsi="仿宋" w:eastAsia="仿宋" w:cs="仿宋"/>
          <w:b w:val="0"/>
          <w:bCs w:val="0"/>
          <w:i w:val="0"/>
          <w:color w:val="000000" w:themeColor="text1"/>
          <w:kern w:val="0"/>
          <w:sz w:val="30"/>
          <w:szCs w:val="30"/>
          <w:lang w:val="en-US" w:eastAsia="zh-CN" w:bidi="ar-SA"/>
          <w14:textFill>
            <w14:solidFill>
              <w14:schemeClr w14:val="tx1"/>
            </w14:solidFill>
          </w14:textFill>
        </w:rPr>
        <w:t>3.设备能够监测探测周围烟雾浓度，当烟雾浓度超过设定的报警阀值时报警，并将报警信息上传管理平台，当烟雾的浓度低于报警浓度时，报警器恢复为正常工作状态；</w:t>
      </w:r>
    </w:p>
    <w:p w14:paraId="70B3BC79">
      <w:pPr>
        <w:keepNext w:val="0"/>
        <w:keepLines w:val="0"/>
        <w:pageBreakBefore w:val="0"/>
        <w:kinsoku/>
        <w:wordWrap/>
        <w:overflowPunct/>
        <w:topLinePunct w:val="0"/>
        <w:autoSpaceDE/>
        <w:autoSpaceDN/>
        <w:bidi w:val="0"/>
        <w:ind w:left="300" w:firstLine="600" w:firstLineChars="200"/>
        <w:rPr>
          <w:rFonts w:hint="eastAsia" w:ascii="仿宋" w:hAnsi="仿宋" w:eastAsia="仿宋" w:cs="仿宋"/>
          <w:b w:val="0"/>
          <w:bCs w:val="0"/>
          <w:i w:val="0"/>
          <w:color w:val="000000" w:themeColor="text1"/>
          <w:kern w:val="0"/>
          <w:sz w:val="30"/>
          <w:szCs w:val="30"/>
          <w:lang w:val="en-US" w:eastAsia="zh-CN" w:bidi="ar-SA"/>
          <w14:textFill>
            <w14:solidFill>
              <w14:schemeClr w14:val="tx1"/>
            </w14:solidFill>
          </w14:textFill>
        </w:rPr>
      </w:pPr>
      <w:r>
        <w:rPr>
          <w:rFonts w:hint="eastAsia" w:ascii="仿宋" w:hAnsi="仿宋" w:eastAsia="仿宋" w:cs="仿宋"/>
          <w:b w:val="0"/>
          <w:bCs w:val="0"/>
          <w:i w:val="0"/>
          <w:color w:val="000000" w:themeColor="text1"/>
          <w:kern w:val="0"/>
          <w:sz w:val="30"/>
          <w:szCs w:val="30"/>
          <w:lang w:val="en-US" w:eastAsia="zh-CN" w:bidi="ar-SA"/>
          <w14:textFill>
            <w14:solidFill>
              <w14:schemeClr w14:val="tx1"/>
            </w14:solidFill>
          </w14:textFill>
        </w:rPr>
        <w:t>4.设备能够监测探测周围水汽浓度，当水汽浓度超过报警阈值时设备低声低频率提醒，并将水汽干扰信息上传管理平台，当水汽浓度低于阈值时，报警器恢复正常工作状态，若水汽浓度超过阈值较长时间，报警器仍会按烟雾报警声级、频率报警；</w:t>
      </w:r>
    </w:p>
    <w:p w14:paraId="782E3CED">
      <w:pPr>
        <w:keepNext w:val="0"/>
        <w:keepLines w:val="0"/>
        <w:pageBreakBefore w:val="0"/>
        <w:kinsoku/>
        <w:wordWrap/>
        <w:overflowPunct/>
        <w:topLinePunct w:val="0"/>
        <w:autoSpaceDE/>
        <w:autoSpaceDN/>
        <w:bidi w:val="0"/>
        <w:ind w:firstLine="600" w:firstLineChars="200"/>
        <w:rPr>
          <w:rFonts w:hint="eastAsia" w:ascii="仿宋" w:hAnsi="仿宋" w:eastAsia="仿宋" w:cs="仿宋"/>
          <w:b w:val="0"/>
          <w:bCs w:val="0"/>
          <w:i w:val="0"/>
          <w:color w:val="000000" w:themeColor="text1"/>
          <w:kern w:val="0"/>
          <w:sz w:val="30"/>
          <w:szCs w:val="30"/>
          <w:lang w:val="en-US" w:eastAsia="zh-CN" w:bidi="ar-SA"/>
          <w14:textFill>
            <w14:solidFill>
              <w14:schemeClr w14:val="tx1"/>
            </w14:solidFill>
          </w14:textFill>
        </w:rPr>
      </w:pPr>
      <w:r>
        <w:rPr>
          <w:rFonts w:hint="eastAsia" w:ascii="仿宋" w:hAnsi="仿宋" w:eastAsia="仿宋" w:cs="仿宋"/>
          <w:b w:val="0"/>
          <w:bCs w:val="0"/>
          <w:i w:val="0"/>
          <w:color w:val="000000" w:themeColor="text1"/>
          <w:kern w:val="0"/>
          <w:sz w:val="30"/>
          <w:szCs w:val="30"/>
          <w:lang w:val="en-US" w:eastAsia="zh-CN" w:bidi="ar-SA"/>
          <w14:textFill>
            <w14:solidFill>
              <w14:schemeClr w14:val="tx1"/>
            </w14:solidFill>
          </w14:textFill>
        </w:rPr>
        <w:t>5.设备能够监测探测周围粉尘浓度，当粉尘浓度超过报警阈值时设备不触 发报警，并将粉尘干扰信息上传管理平台，当粉尘浓度低于阈值时，报警器 恢复正常工作状态，若粉尘浓度超过阈值较长时间，报警器仍会按烟雾报警声 级、频率报警；</w:t>
      </w:r>
    </w:p>
    <w:p w14:paraId="48D8D30F">
      <w:pPr>
        <w:keepNext w:val="0"/>
        <w:keepLines w:val="0"/>
        <w:pageBreakBefore w:val="0"/>
        <w:kinsoku/>
        <w:wordWrap/>
        <w:overflowPunct/>
        <w:topLinePunct w:val="0"/>
        <w:autoSpaceDE/>
        <w:autoSpaceDN/>
        <w:bidi w:val="0"/>
        <w:ind w:left="300" w:firstLine="600" w:firstLineChars="200"/>
        <w:rPr>
          <w:rFonts w:hint="eastAsia" w:ascii="仿宋" w:hAnsi="仿宋" w:eastAsia="仿宋" w:cs="仿宋"/>
          <w:b w:val="0"/>
          <w:bCs w:val="0"/>
          <w:i w:val="0"/>
          <w:color w:val="000000" w:themeColor="text1"/>
          <w:kern w:val="0"/>
          <w:sz w:val="30"/>
          <w:szCs w:val="30"/>
          <w:lang w:val="en-US" w:eastAsia="zh-CN" w:bidi="ar-SA"/>
          <w14:textFill>
            <w14:solidFill>
              <w14:schemeClr w14:val="tx1"/>
            </w14:solidFill>
          </w14:textFill>
        </w:rPr>
      </w:pPr>
      <w:r>
        <w:rPr>
          <w:rFonts w:hint="eastAsia" w:ascii="仿宋" w:hAnsi="仿宋" w:eastAsia="仿宋" w:cs="仿宋"/>
          <w:b w:val="0"/>
          <w:bCs w:val="0"/>
          <w:i w:val="0"/>
          <w:color w:val="000000" w:themeColor="text1"/>
          <w:kern w:val="0"/>
          <w:sz w:val="30"/>
          <w:szCs w:val="30"/>
          <w:lang w:val="en-US" w:eastAsia="zh-CN" w:bidi="ar-SA"/>
          <w14:textFill>
            <w14:solidFill>
              <w14:schemeClr w14:val="tx1"/>
            </w14:solidFill>
          </w14:textFill>
        </w:rPr>
        <w:t>6.为方便管理，在烟雾报警、温度报警或同时报警下，设备应自动提升分成三级报警，同时将信息上报到监控中心智慧消防平台；</w:t>
      </w:r>
    </w:p>
    <w:p w14:paraId="5538022F">
      <w:pPr>
        <w:keepNext w:val="0"/>
        <w:keepLines w:val="0"/>
        <w:pageBreakBefore w:val="0"/>
        <w:kinsoku/>
        <w:wordWrap/>
        <w:overflowPunct/>
        <w:topLinePunct w:val="0"/>
        <w:autoSpaceDE/>
        <w:autoSpaceDN/>
        <w:bidi w:val="0"/>
        <w:ind w:left="300" w:firstLine="600" w:firstLineChars="200"/>
        <w:rPr>
          <w:rFonts w:hint="default" w:ascii="仿宋" w:hAnsi="仿宋" w:eastAsia="仿宋" w:cs="仿宋"/>
          <w:b w:val="0"/>
          <w:bCs w:val="0"/>
          <w:i w:val="0"/>
          <w:color w:val="0000FF"/>
          <w:kern w:val="0"/>
          <w:sz w:val="30"/>
          <w:szCs w:val="30"/>
          <w:lang w:val="en-US" w:eastAsia="zh-CN" w:bidi="ar-SA"/>
        </w:rPr>
      </w:pPr>
      <w:r>
        <w:rPr>
          <w:rFonts w:hint="eastAsia" w:ascii="仿宋" w:hAnsi="仿宋" w:eastAsia="仿宋" w:cs="仿宋"/>
          <w:b w:val="0"/>
          <w:bCs w:val="0"/>
          <w:i w:val="0"/>
          <w:color w:val="000000" w:themeColor="text1"/>
          <w:kern w:val="0"/>
          <w:sz w:val="30"/>
          <w:szCs w:val="30"/>
          <w:lang w:val="en-US" w:eastAsia="zh-CN" w:bidi="ar-SA"/>
          <w14:textFill>
            <w14:solidFill>
              <w14:schemeClr w14:val="tx1"/>
            </w14:solidFill>
          </w14:textFill>
        </w:rPr>
        <w:t>7.设备具有防拆报警功能(投标文件中提供第三方有权机构出具的带有CMA或CNAS标识的检测报告扫描件），</w:t>
      </w:r>
      <w:r>
        <w:rPr>
          <w:rFonts w:hint="eastAsia" w:ascii="仿宋" w:hAnsi="仿宋" w:eastAsia="仿宋" w:cs="仿宋"/>
          <w:b w:val="0"/>
          <w:bCs w:val="0"/>
          <w:i w:val="0"/>
          <w:color w:val="0000FF"/>
          <w:kern w:val="0"/>
          <w:sz w:val="30"/>
          <w:szCs w:val="30"/>
          <w:lang w:val="en-US" w:eastAsia="zh-CN" w:bidi="ar-SA"/>
        </w:rPr>
        <w:t>可将报警信号与校内现有智慧消防综合管理平台接入;</w:t>
      </w:r>
    </w:p>
    <w:p w14:paraId="2735CE7E">
      <w:pPr>
        <w:keepNext w:val="0"/>
        <w:keepLines w:val="0"/>
        <w:pageBreakBefore w:val="0"/>
        <w:kinsoku/>
        <w:wordWrap/>
        <w:overflowPunct/>
        <w:topLinePunct w:val="0"/>
        <w:autoSpaceDE/>
        <w:autoSpaceDN/>
        <w:bidi w:val="0"/>
        <w:ind w:left="300" w:firstLine="600" w:firstLineChars="200"/>
        <w:rPr>
          <w:rFonts w:hint="eastAsia" w:ascii="仿宋" w:hAnsi="仿宋" w:eastAsia="仿宋" w:cs="仿宋"/>
          <w:b w:val="0"/>
          <w:bCs w:val="0"/>
          <w:i w:val="0"/>
          <w:color w:val="auto"/>
          <w:kern w:val="0"/>
          <w:sz w:val="30"/>
          <w:szCs w:val="30"/>
          <w:lang w:val="en-US" w:eastAsia="zh-CN" w:bidi="ar-SA"/>
        </w:rPr>
      </w:pPr>
      <w:r>
        <w:rPr>
          <w:rFonts w:hint="eastAsia" w:ascii="仿宋" w:hAnsi="仿宋" w:eastAsia="仿宋" w:cs="仿宋"/>
          <w:b w:val="0"/>
          <w:bCs w:val="0"/>
          <w:i w:val="0"/>
          <w:color w:val="auto"/>
          <w:kern w:val="0"/>
          <w:sz w:val="30"/>
          <w:szCs w:val="30"/>
          <w:lang w:val="en-US" w:eastAsia="zh-CN" w:bidi="ar-SA"/>
        </w:rPr>
        <w:t>8.为保证产品续航，电池容量需≥2400mAH(投标文件中提供第三方有权机构出具的带有CMA或CNAS标识的检测报告扫描件）；</w:t>
      </w:r>
    </w:p>
    <w:p w14:paraId="5B97B112">
      <w:pPr>
        <w:keepNext w:val="0"/>
        <w:keepLines w:val="0"/>
        <w:pageBreakBefore w:val="0"/>
        <w:kinsoku/>
        <w:wordWrap/>
        <w:overflowPunct/>
        <w:topLinePunct w:val="0"/>
        <w:autoSpaceDE/>
        <w:autoSpaceDN/>
        <w:bidi w:val="0"/>
        <w:ind w:left="300" w:firstLine="600" w:firstLineChars="200"/>
        <w:rPr>
          <w:rFonts w:hint="eastAsia" w:ascii="仿宋" w:hAnsi="仿宋" w:eastAsia="仿宋" w:cs="仿宋"/>
          <w:b w:val="0"/>
          <w:bCs w:val="0"/>
          <w:i w:val="0"/>
          <w:color w:val="auto"/>
          <w:kern w:val="0"/>
          <w:sz w:val="30"/>
          <w:szCs w:val="30"/>
          <w:lang w:val="en-US" w:eastAsia="zh-CN" w:bidi="ar-SA"/>
        </w:rPr>
      </w:pPr>
      <w:r>
        <w:rPr>
          <w:rFonts w:hint="eastAsia" w:ascii="仿宋" w:hAnsi="仿宋" w:eastAsia="仿宋" w:cs="仿宋"/>
          <w:b w:val="0"/>
          <w:bCs w:val="0"/>
          <w:i w:val="0"/>
          <w:color w:val="auto"/>
          <w:kern w:val="0"/>
          <w:sz w:val="30"/>
          <w:szCs w:val="30"/>
          <w:lang w:val="en-US" w:eastAsia="zh-CN" w:bidi="ar-SA"/>
        </w:rPr>
        <w:t>9.具备远程消音的功能，在设备持续报警时，通过远程命令（Web端及APP端）可进行设备的现场消音(投标文件中提供第三方有权机构出具的带有CMA或CNAS标识的检测报告扫描件）；</w:t>
      </w:r>
    </w:p>
    <w:p w14:paraId="60F0D2C5">
      <w:pPr>
        <w:keepNext w:val="0"/>
        <w:keepLines w:val="0"/>
        <w:pageBreakBefore w:val="0"/>
        <w:kinsoku/>
        <w:wordWrap/>
        <w:overflowPunct/>
        <w:topLinePunct w:val="0"/>
        <w:autoSpaceDE/>
        <w:autoSpaceDN/>
        <w:bidi w:val="0"/>
        <w:ind w:left="300" w:firstLine="600" w:firstLineChars="200"/>
        <w:rPr>
          <w:rFonts w:hint="eastAsia" w:ascii="仿宋" w:hAnsi="仿宋" w:eastAsia="仿宋" w:cs="仿宋"/>
          <w:b w:val="0"/>
          <w:bCs w:val="0"/>
          <w:i w:val="0"/>
          <w:color w:val="auto"/>
          <w:kern w:val="0"/>
          <w:sz w:val="30"/>
          <w:szCs w:val="30"/>
          <w:lang w:val="en-US" w:eastAsia="zh-CN" w:bidi="ar-SA"/>
        </w:rPr>
      </w:pPr>
      <w:r>
        <w:rPr>
          <w:rFonts w:hint="eastAsia" w:ascii="仿宋" w:hAnsi="仿宋" w:eastAsia="仿宋" w:cs="仿宋"/>
          <w:b w:val="0"/>
          <w:bCs w:val="0"/>
          <w:i w:val="0"/>
          <w:color w:val="auto"/>
          <w:kern w:val="0"/>
          <w:sz w:val="30"/>
          <w:szCs w:val="30"/>
          <w:lang w:val="en-US" w:eastAsia="zh-CN" w:bidi="ar-SA"/>
        </w:rPr>
        <w:t>10.为满足恶劣环境使用要求，设备在(-20±2) ℃~(50±2) ℃环境下可正常工作(投标文件中提供第三方有权机构出具的带有CMA或CNAS标识的检测报告扫描件）；</w:t>
      </w:r>
    </w:p>
    <w:p w14:paraId="6A6501C6">
      <w:pPr>
        <w:rPr>
          <w:rFonts w:hint="default"/>
          <w:lang w:val="en-US" w:eastAsia="zh-CN"/>
        </w:rPr>
      </w:pPr>
      <w:r>
        <w:rPr>
          <w:rFonts w:hint="eastAsia" w:ascii="仿宋" w:hAnsi="仿宋" w:eastAsia="仿宋" w:cs="仿宋"/>
          <w:b w:val="0"/>
          <w:bCs w:val="0"/>
          <w:i w:val="0"/>
          <w:color w:val="000000" w:themeColor="text1"/>
          <w:kern w:val="0"/>
          <w:sz w:val="30"/>
          <w:szCs w:val="30"/>
          <w:lang w:val="en-US" w:eastAsia="zh-CN" w:bidi="ar-SA"/>
          <w14:textFill>
            <w14:solidFill>
              <w14:schemeClr w14:val="tx1"/>
            </w14:solidFill>
          </w14:textFill>
        </w:rPr>
        <w:t>11.</w:t>
      </w:r>
      <w:r>
        <w:rPr>
          <w:rFonts w:hint="eastAsia" w:ascii="仿宋" w:hAnsi="仿宋" w:eastAsia="仿宋" w:cs="仿宋"/>
          <w:b/>
          <w:bCs/>
          <w:i w:val="0"/>
          <w:color w:val="000000" w:themeColor="text1"/>
          <w:kern w:val="0"/>
          <w:sz w:val="30"/>
          <w:szCs w:val="30"/>
          <w:lang w:val="en-US" w:eastAsia="zh-CN" w:bidi="ar-SA"/>
          <w14:textFill>
            <w14:solidFill>
              <w14:schemeClr w14:val="tx1"/>
            </w14:solidFill>
          </w14:textFill>
        </w:rPr>
        <w:t>投标人所提供产品，必须无缝接入安徽电子信息职业技术学院监控中心现有智慧消防综合管理平台及三年网络服务费，若产生其他费用，均由投标人自行承担。中标方在施工前，需要完成接入测试，否则由此带来的一切后果，均由投标人自行承担。质保到期后，中标单位需对烟感设备进行一次性的整体检测。对如设备灵敏度下降、误报频繁或外观明显损坏等情况，报经甲方同意按成本价及时更换新的同档次产品的烟感或配件。对于电池等易耗配件，报经甲方同意根据使用寿命以不高于市场价进行更换，并需确保长期使用过程中保持性能稳定。质保期后，设备资费卡年费，中标单位报经甲方同意后，根据市场运营商流量资费卡的成本价格协助甲方办理充值续费。</w:t>
      </w:r>
      <w:bookmarkStart w:id="0" w:name="_GoBack"/>
      <w:bookmarkEnd w:id="0"/>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9FF40C">
    <w:pPr>
      <w:pStyle w:val="2"/>
      <w:keepNext w:val="0"/>
      <w:keepLines w:val="0"/>
      <w:widowControl/>
      <w:suppressLineNumbers w:val="0"/>
      <w:pBdr>
        <w:top w:val="none" w:color="auto" w:sz="0" w:space="0"/>
        <w:left w:val="none" w:color="auto" w:sz="0" w:space="0"/>
        <w:bottom w:val="single" w:color="ECECEC" w:sz="6" w:space="7"/>
        <w:right w:val="none" w:color="auto" w:sz="0" w:space="0"/>
      </w:pBdr>
      <w:shd w:val="clear" w:fill="FFFFFF"/>
      <w:spacing w:before="0" w:beforeAutospacing="0" w:after="0" w:afterAutospacing="0" w:line="390" w:lineRule="atLeast"/>
      <w:ind w:left="0" w:right="0" w:firstLine="0"/>
      <w:jc w:val="both"/>
      <w:rPr>
        <w:rFonts w:ascii="微软雅黑" w:hAnsi="微软雅黑" w:eastAsia="微软雅黑" w:cs="微软雅黑"/>
        <w:b/>
        <w:bCs/>
        <w:i w:val="0"/>
        <w:iCs w:val="0"/>
        <w:caps w:val="0"/>
        <w:color w:val="8F000B"/>
        <w:spacing w:val="0"/>
        <w:sz w:val="33"/>
        <w:szCs w:val="33"/>
      </w:rPr>
    </w:pPr>
  </w:p>
  <w:p w14:paraId="675F0F88">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NhZmQyNzU1YWY5M2I2NDNhZmQ2ZGFlOTAwNjczYmUifQ=="/>
  </w:docVars>
  <w:rsids>
    <w:rsidRoot w:val="0098586C"/>
    <w:rsid w:val="00437597"/>
    <w:rsid w:val="006E4729"/>
    <w:rsid w:val="007E64FC"/>
    <w:rsid w:val="00804666"/>
    <w:rsid w:val="0098586C"/>
    <w:rsid w:val="012F0438"/>
    <w:rsid w:val="01477581"/>
    <w:rsid w:val="0378337B"/>
    <w:rsid w:val="09A0136D"/>
    <w:rsid w:val="132179FB"/>
    <w:rsid w:val="1D9349F0"/>
    <w:rsid w:val="227439E1"/>
    <w:rsid w:val="24DD207D"/>
    <w:rsid w:val="280E1EE1"/>
    <w:rsid w:val="2AED63FF"/>
    <w:rsid w:val="2EFC0F71"/>
    <w:rsid w:val="2FD17AAB"/>
    <w:rsid w:val="3A7530B5"/>
    <w:rsid w:val="3E3F2FBE"/>
    <w:rsid w:val="43A95C8F"/>
    <w:rsid w:val="46E110B6"/>
    <w:rsid w:val="49D62A28"/>
    <w:rsid w:val="5B0F5D0D"/>
    <w:rsid w:val="61AA2CEE"/>
    <w:rsid w:val="65D30B92"/>
    <w:rsid w:val="6A7C2557"/>
    <w:rsid w:val="7BA61FA4"/>
    <w:rsid w:val="7C4122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1"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1"/>
    <w:pPr>
      <w:spacing w:before="150"/>
      <w:ind w:left="768"/>
      <w:jc w:val="both"/>
      <w:outlineLvl w:val="1"/>
    </w:pPr>
    <w:rPr>
      <w:b/>
      <w:bCs/>
      <w:i/>
      <w:sz w:val="25"/>
      <w:szCs w:val="25"/>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3"/>
    <w:semiHidden/>
    <w:unhideWhenUsed/>
    <w:qFormat/>
    <w:uiPriority w:val="99"/>
    <w:rPr>
      <w:sz w:val="18"/>
      <w:szCs w:val="18"/>
    </w:rPr>
  </w:style>
  <w:style w:type="paragraph" w:styleId="5">
    <w:name w:val="footer"/>
    <w:basedOn w:val="1"/>
    <w:semiHidden/>
    <w:unhideWhenUsed/>
    <w:qFormat/>
    <w:uiPriority w:val="99"/>
    <w:pPr>
      <w:tabs>
        <w:tab w:val="center" w:pos="4153"/>
        <w:tab w:val="right" w:pos="8306"/>
      </w:tabs>
      <w:snapToGrid w:val="0"/>
      <w:jc w:val="left"/>
    </w:pPr>
    <w:rPr>
      <w:sz w:val="18"/>
    </w:rPr>
  </w:style>
  <w:style w:type="paragraph" w:styleId="6">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9">
    <w:name w:val="Table Grid"/>
    <w:basedOn w:val="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customStyle="1" w:styleId="12">
    <w:name w:val="正"/>
    <w:basedOn w:val="1"/>
    <w:qFormat/>
    <w:uiPriority w:val="0"/>
    <w:pPr>
      <w:tabs>
        <w:tab w:val="left" w:pos="-120"/>
      </w:tabs>
      <w:adjustRightInd w:val="0"/>
      <w:spacing w:line="560" w:lineRule="exact"/>
      <w:ind w:firstLine="600"/>
      <w:textAlignment w:val="baseline"/>
    </w:pPr>
    <w:rPr>
      <w:rFonts w:ascii="仿宋_GB2312" w:hAnsi="Times New Roman" w:eastAsia="仿宋_GB2312" w:cs="Times New Roman"/>
      <w:color w:val="000000"/>
      <w:spacing w:val="20"/>
      <w:sz w:val="28"/>
      <w:szCs w:val="28"/>
    </w:rPr>
  </w:style>
  <w:style w:type="character" w:customStyle="1" w:styleId="13">
    <w:name w:val="批注框文本 Char"/>
    <w:basedOn w:val="10"/>
    <w:link w:val="4"/>
    <w:semiHidden/>
    <w:qFormat/>
    <w:uiPriority w:val="99"/>
    <w:rPr>
      <w:sz w:val="18"/>
      <w:szCs w:val="18"/>
    </w:rPr>
  </w:style>
  <w:style w:type="character" w:customStyle="1" w:styleId="14">
    <w:name w:val="font01"/>
    <w:basedOn w:val="10"/>
    <w:qFormat/>
    <w:uiPriority w:val="0"/>
    <w:rPr>
      <w:rFonts w:hint="eastAsia" w:ascii="宋体" w:hAnsi="宋体" w:eastAsia="宋体" w:cs="宋体"/>
      <w:color w:val="000000"/>
      <w:sz w:val="24"/>
      <w:szCs w:val="24"/>
      <w:u w:val="none"/>
    </w:rPr>
  </w:style>
  <w:style w:type="paragraph" w:customStyle="1" w:styleId="15">
    <w:name w:val="p_text_indent_2"/>
    <w:basedOn w:val="1"/>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990</Words>
  <Characters>1054</Characters>
  <Lines>1</Lines>
  <Paragraphs>1</Paragraphs>
  <TotalTime>0</TotalTime>
  <ScaleCrop>false</ScaleCrop>
  <LinksUpToDate>false</LinksUpToDate>
  <CharactersWithSpaces>1069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2022-11-02T07:54:00Z</dcterms:created>
  <dc:creator>lenovo</dc:creator>
  <cp:lastModifiedBy>杰少</cp:lastModifiedBy>
  <cp:lastPrinted>2022-11-25T01:16:00Z</cp:lastPrinted>
  <dcterms:modified xsi:type="dcterms:W3CDTF">2025-04-30T00:26:25Z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730AEBC61E3A40CC9CD45560E7BE96A4_13</vt:lpwstr>
  </property>
  <property fmtid="{D5CDD505-2E9C-101B-9397-08002B2CF9AE}" pid="4" name="KSOTemplateDocerSaveRecord">
    <vt:lpwstr>eyJoZGlkIjoiNTJiMjdkMDI3YzViZGE0ZWRlYmQxZWNjYTM2MzFiMTMiLCJ1c2VySWQiOiIxNDk5NzY1NzM3In0=</vt:lpwstr>
  </property>
</Properties>
</file>