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A95F4E">
      <w:pPr>
        <w:ind w:left="840" w:right="-34" w:rightChars="-16"/>
        <w:rPr>
          <w:b/>
          <w:bCs/>
        </w:rPr>
      </w:pPr>
      <w:bookmarkStart w:id="0" w:name="_GoBack"/>
      <w:r>
        <w:rPr>
          <w:rFonts w:hint="eastAsia" w:ascii="宋体" w:hAnsi="宋体" w:eastAsia="宋体" w:cs="宋体"/>
          <w:b/>
          <w:color w:val="000000" w:themeColor="text1"/>
          <w:sz w:val="32"/>
          <w:szCs w:val="32"/>
          <w:lang w:val="en-US" w:eastAsia="zh-CN"/>
          <w14:textFill>
            <w14:solidFill>
              <w14:schemeClr w14:val="tx1"/>
            </w14:solidFill>
          </w14:textFill>
        </w:rPr>
        <w:t>附件：</w:t>
      </w:r>
      <w:r>
        <w:rPr>
          <w:rFonts w:hint="eastAsia" w:ascii="宋体" w:hAnsi="宋体" w:eastAsia="宋体" w:cs="宋体"/>
          <w:b/>
          <w:color w:val="000000" w:themeColor="text1"/>
          <w:sz w:val="32"/>
          <w:szCs w:val="32"/>
          <w14:textFill>
            <w14:solidFill>
              <w14:schemeClr w14:val="tx1"/>
            </w14:solidFill>
          </w14:textFill>
        </w:rPr>
        <w:t>项目需求</w:t>
      </w:r>
    </w:p>
    <w:bookmarkEnd w:id="0"/>
    <w:p w14:paraId="23A95F4F">
      <w:pPr>
        <w:widowControl/>
        <w:ind w:firstLine="840" w:firstLineChars="300"/>
        <w:jc w:val="left"/>
        <w:rPr>
          <w:rFonts w:hint="eastAsia" w:ascii="仿宋" w:hAnsi="仿宋" w:eastAsia="仿宋" w:cs="仿宋"/>
          <w:sz w:val="28"/>
          <w:szCs w:val="28"/>
        </w:rPr>
      </w:pPr>
      <w:r>
        <w:rPr>
          <w:rFonts w:hint="eastAsia" w:ascii="仿宋" w:hAnsi="仿宋" w:eastAsia="仿宋" w:cs="仿宋"/>
          <w:color w:val="222222"/>
          <w:kern w:val="0"/>
          <w:sz w:val="28"/>
          <w:szCs w:val="28"/>
          <w:lang w:bidi="ar"/>
        </w:rPr>
        <w:t>1. 实现课程成绩与职业技能等级认定的自动匹配，无需人工干预，提升认定效率与准确性；</w:t>
      </w:r>
    </w:p>
    <w:p w14:paraId="23A95F50">
      <w:pPr>
        <w:widowControl/>
        <w:ind w:firstLine="560" w:firstLineChars="200"/>
        <w:jc w:val="left"/>
        <w:rPr>
          <w:rFonts w:hint="eastAsia" w:ascii="仿宋" w:hAnsi="仿宋" w:eastAsia="仿宋" w:cs="仿宋"/>
          <w:sz w:val="28"/>
          <w:szCs w:val="28"/>
        </w:rPr>
      </w:pPr>
      <w:r>
        <w:rPr>
          <w:rFonts w:hint="eastAsia" w:ascii="仿宋" w:hAnsi="仿宋" w:eastAsia="仿宋" w:cs="仿宋"/>
          <w:color w:val="222222"/>
          <w:kern w:val="0"/>
          <w:sz w:val="28"/>
          <w:szCs w:val="28"/>
          <w:lang w:bidi="ar"/>
        </w:rPr>
        <w:t>2. 完成在校生及毕业生学分转化工作，自动生成理论成绩、技能成绩及综合评定等级；</w:t>
      </w:r>
    </w:p>
    <w:p w14:paraId="23A95F51">
      <w:pPr>
        <w:widowControl/>
        <w:ind w:firstLine="560" w:firstLineChars="200"/>
        <w:jc w:val="left"/>
        <w:rPr>
          <w:rFonts w:hint="eastAsia" w:ascii="仿宋" w:hAnsi="仿宋" w:eastAsia="仿宋" w:cs="仿宋"/>
          <w:sz w:val="28"/>
          <w:szCs w:val="28"/>
        </w:rPr>
      </w:pPr>
      <w:r>
        <w:rPr>
          <w:rFonts w:hint="eastAsia" w:ascii="仿宋" w:hAnsi="仿宋" w:eastAsia="仿宋" w:cs="仿宋"/>
          <w:color w:val="222222"/>
          <w:kern w:val="0"/>
          <w:sz w:val="28"/>
          <w:szCs w:val="28"/>
          <w:lang w:bidi="ar"/>
        </w:rPr>
        <w:t>3. 支持数据一键导出，导出数据格式符合安徽省职业技能等级认定系统要求，实现与省系统的无缝对接；</w:t>
      </w:r>
    </w:p>
    <w:p w14:paraId="23A95F52">
      <w:pPr>
        <w:spacing w:line="360" w:lineRule="auto"/>
        <w:ind w:firstLine="560" w:firstLineChars="200"/>
        <w:rPr>
          <w:rFonts w:hint="eastAsia" w:ascii="仿宋" w:hAnsi="仿宋" w:eastAsia="仿宋" w:cs="仿宋"/>
          <w:color w:val="222222"/>
          <w:kern w:val="0"/>
          <w:sz w:val="28"/>
          <w:szCs w:val="28"/>
          <w:lang w:bidi="ar"/>
        </w:rPr>
      </w:pPr>
      <w:r>
        <w:rPr>
          <w:rFonts w:hint="eastAsia" w:ascii="仿宋" w:hAnsi="仿宋" w:eastAsia="仿宋" w:cs="仿宋"/>
          <w:color w:val="222222"/>
          <w:kern w:val="0"/>
          <w:sz w:val="28"/>
          <w:szCs w:val="28"/>
          <w:lang w:bidi="ar"/>
        </w:rPr>
        <w:t>4. 为学生提供线上报名、结果查询、证书申领等全流程服务，简化办事流程，提升服务体验。</w:t>
      </w:r>
    </w:p>
    <w:p w14:paraId="23A95F53">
      <w:pPr>
        <w:spacing w:line="360" w:lineRule="auto"/>
        <w:ind w:firstLine="560" w:firstLineChars="200"/>
        <w:rPr>
          <w:rFonts w:hint="eastAsia" w:ascii="仿宋" w:hAnsi="仿宋" w:eastAsia="仿宋" w:cs="仿宋"/>
          <w:color w:val="222222"/>
          <w:kern w:val="0"/>
          <w:sz w:val="28"/>
          <w:szCs w:val="28"/>
          <w:lang w:bidi="ar"/>
        </w:rPr>
      </w:pPr>
    </w:p>
    <w:p w14:paraId="23A95F54">
      <w:pPr>
        <w:tabs>
          <w:tab w:val="left" w:pos="1311"/>
        </w:tabs>
        <w:ind w:firstLine="843" w:firstLineChars="300"/>
        <w:rPr>
          <w:rFonts w:hint="eastAsia" w:ascii="宋体" w:hAnsi="宋体"/>
          <w:szCs w:val="21"/>
        </w:rPr>
      </w:pPr>
      <w:r>
        <w:rPr>
          <w:rFonts w:hint="eastAsia" w:ascii="Times New Roman" w:hAnsi="Times New Roman" w:eastAsia="宋体"/>
          <w:b/>
          <w:bCs/>
          <w:color w:val="333333"/>
          <w:sz w:val="28"/>
          <w:szCs w:val="28"/>
        </w:rPr>
        <w:t xml:space="preserve">         "一试三证"学分转换系统项目报价表</w:t>
      </w:r>
    </w:p>
    <w:tbl>
      <w:tblPr>
        <w:tblStyle w:val="8"/>
        <w:tblW w:w="91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
        <w:gridCol w:w="755"/>
        <w:gridCol w:w="755"/>
        <w:gridCol w:w="399"/>
        <w:gridCol w:w="377"/>
        <w:gridCol w:w="4003"/>
        <w:gridCol w:w="840"/>
        <w:gridCol w:w="900"/>
        <w:gridCol w:w="750"/>
      </w:tblGrid>
      <w:tr w14:paraId="23A95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368" w:type="dxa"/>
            <w:vAlign w:val="center"/>
          </w:tcPr>
          <w:p w14:paraId="23A95F55">
            <w:pPr>
              <w:widowControl/>
              <w:jc w:val="center"/>
              <w:textAlignment w:val="center"/>
              <w:rPr>
                <w:rFonts w:hint="eastAsia" w:ascii="宋体" w:hAnsi="宋体" w:cs="宋体"/>
                <w:szCs w:val="21"/>
              </w:rPr>
            </w:pPr>
            <w:r>
              <w:rPr>
                <w:rFonts w:hint="eastAsia" w:ascii="宋体" w:hAnsi="宋体" w:cs="宋体"/>
                <w:kern w:val="0"/>
                <w:szCs w:val="21"/>
                <w:lang w:bidi="ar"/>
              </w:rPr>
              <w:t>序号</w:t>
            </w:r>
          </w:p>
        </w:tc>
        <w:tc>
          <w:tcPr>
            <w:tcW w:w="755" w:type="dxa"/>
            <w:vAlign w:val="center"/>
          </w:tcPr>
          <w:p w14:paraId="23A95F56">
            <w:pPr>
              <w:widowControl/>
              <w:jc w:val="center"/>
              <w:textAlignment w:val="center"/>
              <w:rPr>
                <w:rFonts w:hint="eastAsia" w:ascii="宋体" w:hAnsi="宋体" w:cs="宋体"/>
                <w:szCs w:val="21"/>
              </w:rPr>
            </w:pPr>
            <w:r>
              <w:rPr>
                <w:rFonts w:hint="eastAsia" w:ascii="宋体" w:hAnsi="宋体" w:cs="宋体"/>
                <w:kern w:val="0"/>
                <w:szCs w:val="21"/>
                <w:lang w:bidi="ar"/>
              </w:rPr>
              <w:t>名称</w:t>
            </w:r>
          </w:p>
        </w:tc>
        <w:tc>
          <w:tcPr>
            <w:tcW w:w="755" w:type="dxa"/>
            <w:vAlign w:val="center"/>
          </w:tcPr>
          <w:p w14:paraId="23A95F57">
            <w:pPr>
              <w:widowControl/>
              <w:jc w:val="center"/>
              <w:textAlignment w:val="center"/>
              <w:rPr>
                <w:rFonts w:hint="eastAsia" w:ascii="宋体" w:hAnsi="宋体" w:cs="宋体"/>
                <w:szCs w:val="21"/>
              </w:rPr>
            </w:pPr>
            <w:r>
              <w:rPr>
                <w:rFonts w:hint="eastAsia" w:ascii="宋体" w:hAnsi="宋体" w:cs="宋体"/>
                <w:kern w:val="0"/>
                <w:szCs w:val="21"/>
                <w:lang w:bidi="ar"/>
              </w:rPr>
              <w:t>规格型号（L*W*H）</w:t>
            </w:r>
          </w:p>
        </w:tc>
        <w:tc>
          <w:tcPr>
            <w:tcW w:w="399" w:type="dxa"/>
            <w:vAlign w:val="center"/>
          </w:tcPr>
          <w:p w14:paraId="23A95F58">
            <w:pPr>
              <w:widowControl/>
              <w:jc w:val="center"/>
              <w:textAlignment w:val="center"/>
              <w:rPr>
                <w:rFonts w:hint="eastAsia" w:ascii="宋体" w:hAnsi="宋体" w:cs="宋体"/>
                <w:szCs w:val="21"/>
              </w:rPr>
            </w:pPr>
            <w:r>
              <w:rPr>
                <w:rFonts w:hint="eastAsia" w:ascii="宋体" w:hAnsi="宋体" w:cs="宋体"/>
                <w:kern w:val="0"/>
                <w:szCs w:val="21"/>
                <w:lang w:bidi="ar"/>
              </w:rPr>
              <w:t>单位</w:t>
            </w:r>
          </w:p>
        </w:tc>
        <w:tc>
          <w:tcPr>
            <w:tcW w:w="377" w:type="dxa"/>
            <w:vAlign w:val="center"/>
          </w:tcPr>
          <w:p w14:paraId="23A95F59">
            <w:pPr>
              <w:widowControl/>
              <w:jc w:val="center"/>
              <w:textAlignment w:val="center"/>
              <w:rPr>
                <w:rFonts w:hint="eastAsia" w:ascii="宋体" w:hAnsi="宋体" w:cs="宋体"/>
                <w:szCs w:val="21"/>
              </w:rPr>
            </w:pPr>
            <w:r>
              <w:rPr>
                <w:rFonts w:hint="eastAsia" w:ascii="宋体" w:hAnsi="宋体" w:cs="宋体"/>
                <w:color w:val="000000"/>
                <w:kern w:val="0"/>
                <w:szCs w:val="21"/>
                <w:lang w:bidi="ar"/>
              </w:rPr>
              <w:t>数量</w:t>
            </w:r>
          </w:p>
        </w:tc>
        <w:tc>
          <w:tcPr>
            <w:tcW w:w="4003" w:type="dxa"/>
            <w:vAlign w:val="center"/>
          </w:tcPr>
          <w:p w14:paraId="23A95F5A">
            <w:pPr>
              <w:widowControl/>
              <w:jc w:val="center"/>
              <w:textAlignment w:val="center"/>
              <w:rPr>
                <w:rFonts w:hint="eastAsia" w:ascii="宋体" w:hAnsi="宋体" w:cs="宋体"/>
                <w:szCs w:val="21"/>
              </w:rPr>
            </w:pPr>
            <w:r>
              <w:rPr>
                <w:rFonts w:hint="eastAsia" w:ascii="宋体" w:hAnsi="宋体" w:cs="宋体"/>
                <w:kern w:val="0"/>
                <w:szCs w:val="21"/>
                <w:lang w:bidi="ar"/>
              </w:rPr>
              <w:t>技术参数</w:t>
            </w:r>
          </w:p>
        </w:tc>
        <w:tc>
          <w:tcPr>
            <w:tcW w:w="840" w:type="dxa"/>
            <w:vAlign w:val="center"/>
          </w:tcPr>
          <w:p w14:paraId="23A95F5B">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单价（元）</w:t>
            </w:r>
          </w:p>
        </w:tc>
        <w:tc>
          <w:tcPr>
            <w:tcW w:w="900" w:type="dxa"/>
            <w:vAlign w:val="center"/>
          </w:tcPr>
          <w:p w14:paraId="23A95F5C">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总价（元）</w:t>
            </w:r>
          </w:p>
        </w:tc>
        <w:tc>
          <w:tcPr>
            <w:tcW w:w="750" w:type="dxa"/>
            <w:vAlign w:val="center"/>
          </w:tcPr>
          <w:p w14:paraId="23A95F5D">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备注</w:t>
            </w:r>
          </w:p>
        </w:tc>
      </w:tr>
      <w:tr w14:paraId="23A95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8" w:type="dxa"/>
            <w:vAlign w:val="center"/>
          </w:tcPr>
          <w:p w14:paraId="23A95F5F">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1</w:t>
            </w:r>
          </w:p>
        </w:tc>
        <w:tc>
          <w:tcPr>
            <w:tcW w:w="755" w:type="dxa"/>
            <w:vAlign w:val="center"/>
          </w:tcPr>
          <w:p w14:paraId="23A95F60">
            <w:pPr>
              <w:spacing w:line="360" w:lineRule="auto"/>
              <w:jc w:val="center"/>
              <w:rPr>
                <w:rFonts w:hint="eastAsia" w:ascii="宋体" w:hAnsi="宋体" w:cs="宋体"/>
                <w:kern w:val="0"/>
                <w:szCs w:val="21"/>
                <w:lang w:bidi="ar"/>
              </w:rPr>
            </w:pPr>
            <w:r>
              <w:rPr>
                <w:rFonts w:hint="eastAsia" w:ascii="宋体" w:hAnsi="宋体" w:cs="宋体"/>
                <w:kern w:val="0"/>
                <w:szCs w:val="21"/>
                <w:lang w:bidi="ar"/>
              </w:rPr>
              <w:t>"一试三证"学分转换系统</w:t>
            </w:r>
          </w:p>
        </w:tc>
        <w:tc>
          <w:tcPr>
            <w:tcW w:w="755" w:type="dxa"/>
            <w:vAlign w:val="center"/>
          </w:tcPr>
          <w:p w14:paraId="23A95F61">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定制</w:t>
            </w:r>
          </w:p>
        </w:tc>
        <w:tc>
          <w:tcPr>
            <w:tcW w:w="399" w:type="dxa"/>
            <w:vAlign w:val="center"/>
          </w:tcPr>
          <w:p w14:paraId="23A95F62">
            <w:pPr>
              <w:spacing w:line="360" w:lineRule="auto"/>
              <w:jc w:val="center"/>
              <w:rPr>
                <w:rFonts w:hint="eastAsia" w:ascii="宋体" w:hAnsi="宋体" w:cs="宋体"/>
                <w:kern w:val="0"/>
                <w:szCs w:val="21"/>
                <w:lang w:bidi="ar"/>
              </w:rPr>
            </w:pPr>
            <w:r>
              <w:rPr>
                <w:rFonts w:hint="eastAsia" w:ascii="宋体" w:hAnsi="宋体" w:cs="宋体"/>
                <w:kern w:val="0"/>
                <w:szCs w:val="21"/>
                <w:lang w:bidi="ar"/>
              </w:rPr>
              <w:t>套</w:t>
            </w:r>
          </w:p>
        </w:tc>
        <w:tc>
          <w:tcPr>
            <w:tcW w:w="377" w:type="dxa"/>
            <w:vAlign w:val="center"/>
          </w:tcPr>
          <w:p w14:paraId="23A95F63">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w:t>
            </w:r>
          </w:p>
        </w:tc>
        <w:tc>
          <w:tcPr>
            <w:tcW w:w="4003" w:type="dxa"/>
          </w:tcPr>
          <w:p w14:paraId="23A95F64">
            <w:pPr>
              <w:spacing w:line="360" w:lineRule="auto"/>
              <w:rPr>
                <w:rFonts w:hint="eastAsia" w:ascii="宋体" w:hAnsi="宋体" w:cs="宋体"/>
                <w:color w:val="000000"/>
                <w:szCs w:val="21"/>
              </w:rPr>
            </w:pPr>
            <w:r>
              <w:rPr>
                <w:rFonts w:hint="eastAsia" w:ascii="宋体" w:hAnsi="宋体" w:cs="宋体"/>
                <w:color w:val="000000"/>
                <w:szCs w:val="21"/>
              </w:rPr>
              <w:t>1.基础配置模块</w:t>
            </w:r>
          </w:p>
          <w:p w14:paraId="23A95F65">
            <w:pPr>
              <w:spacing w:line="360" w:lineRule="auto"/>
              <w:rPr>
                <w:rFonts w:hint="eastAsia" w:ascii="宋体" w:hAnsi="宋体" w:cs="宋体"/>
                <w:color w:val="000000"/>
                <w:szCs w:val="21"/>
              </w:rPr>
            </w:pPr>
            <w:r>
              <w:rPr>
                <w:rFonts w:hint="eastAsia" w:ascii="宋体" w:hAnsi="宋体" w:cs="宋体"/>
                <w:color w:val="000000"/>
                <w:szCs w:val="21"/>
              </w:rPr>
              <w:t>1.1工种配置</w:t>
            </w:r>
          </w:p>
          <w:p w14:paraId="23A95F66">
            <w:pPr>
              <w:spacing w:line="360" w:lineRule="auto"/>
              <w:rPr>
                <w:rFonts w:hint="eastAsia" w:ascii="宋体" w:hAnsi="宋体" w:cs="宋体"/>
                <w:color w:val="000000"/>
                <w:szCs w:val="21"/>
              </w:rPr>
            </w:pPr>
            <w:r>
              <w:rPr>
                <w:rFonts w:hint="eastAsia" w:ascii="宋体" w:hAnsi="宋体" w:cs="宋体"/>
                <w:color w:val="000000"/>
                <w:szCs w:val="21"/>
              </w:rPr>
              <w:t>支持职业技能工种的新增、编辑、删除、查询操作，字段包括工种编号、工种名称、等级、适用专业范围、说明信息等。</w:t>
            </w:r>
          </w:p>
          <w:p w14:paraId="23A95F67">
            <w:pPr>
              <w:spacing w:line="360" w:lineRule="auto"/>
              <w:rPr>
                <w:rFonts w:hint="eastAsia" w:ascii="宋体" w:hAnsi="宋体" w:cs="宋体"/>
                <w:color w:val="000000"/>
                <w:szCs w:val="21"/>
              </w:rPr>
            </w:pPr>
            <w:r>
              <w:rPr>
                <w:rFonts w:hint="eastAsia" w:ascii="宋体" w:hAnsi="宋体" w:cs="宋体"/>
                <w:color w:val="000000"/>
                <w:szCs w:val="21"/>
              </w:rPr>
              <w:t>★支持工种与专业的多对多关联配置，实现学生专业与可申报工种的自动匹配。支持工种认定规则的自定义配置，包括成绩换算规则、合格分数线设置等。</w:t>
            </w:r>
          </w:p>
          <w:p w14:paraId="23A95F68">
            <w:pPr>
              <w:spacing w:line="360" w:lineRule="auto"/>
              <w:rPr>
                <w:rFonts w:hint="eastAsia" w:ascii="宋体" w:hAnsi="宋体" w:cs="宋体"/>
                <w:color w:val="000000"/>
                <w:szCs w:val="21"/>
              </w:rPr>
            </w:pPr>
            <w:r>
              <w:rPr>
                <w:rFonts w:hint="eastAsia" w:ascii="宋体" w:hAnsi="宋体" w:cs="宋体"/>
                <w:color w:val="000000"/>
                <w:szCs w:val="21"/>
              </w:rPr>
              <w:t>1.2置换方案配置</w:t>
            </w:r>
          </w:p>
          <w:p w14:paraId="23A95F69">
            <w:pPr>
              <w:spacing w:line="360" w:lineRule="auto"/>
              <w:rPr>
                <w:rFonts w:hint="eastAsia" w:ascii="宋体" w:hAnsi="宋体" w:cs="宋体"/>
                <w:color w:val="000000"/>
                <w:szCs w:val="21"/>
              </w:rPr>
            </w:pPr>
            <w:r>
              <w:rPr>
                <w:rFonts w:hint="eastAsia" w:ascii="宋体" w:hAnsi="宋体" w:cs="宋体"/>
                <w:color w:val="000000"/>
                <w:szCs w:val="21"/>
              </w:rPr>
              <w:t>建立工种和课程的关联关系。</w:t>
            </w:r>
          </w:p>
          <w:p w14:paraId="23A95F6A">
            <w:pPr>
              <w:spacing w:line="360" w:lineRule="auto"/>
              <w:rPr>
                <w:rFonts w:hint="eastAsia" w:ascii="宋体" w:hAnsi="宋体" w:cs="宋体"/>
                <w:color w:val="000000"/>
                <w:szCs w:val="21"/>
              </w:rPr>
            </w:pPr>
            <w:r>
              <w:rPr>
                <w:rFonts w:hint="eastAsia" w:ascii="宋体" w:hAnsi="宋体" w:cs="宋体"/>
                <w:color w:val="000000"/>
                <w:szCs w:val="21"/>
              </w:rPr>
              <w:t>支持学分转换规则的自定义配置，包括理论成绩换算比例、技能成绩换算比例、综合评定规则等。</w:t>
            </w:r>
          </w:p>
          <w:p w14:paraId="23A95F6B">
            <w:pPr>
              <w:spacing w:line="360" w:lineRule="auto"/>
              <w:rPr>
                <w:rFonts w:hint="eastAsia" w:ascii="宋体" w:hAnsi="宋体" w:cs="宋体"/>
                <w:color w:val="000000"/>
                <w:szCs w:val="21"/>
              </w:rPr>
            </w:pPr>
            <w:r>
              <w:rPr>
                <w:rFonts w:hint="eastAsia" w:ascii="宋体" w:hAnsi="宋体" w:cs="宋体"/>
                <w:color w:val="000000"/>
                <w:szCs w:val="21"/>
              </w:rPr>
              <w:t>支持不同专业、不同工种的差异化置换方案配置（转化比例、关联课程）。</w:t>
            </w:r>
          </w:p>
          <w:p w14:paraId="23A95F6C">
            <w:pPr>
              <w:spacing w:line="360" w:lineRule="auto"/>
              <w:rPr>
                <w:rFonts w:hint="eastAsia" w:ascii="宋体" w:hAnsi="宋体" w:cs="宋体"/>
                <w:color w:val="000000"/>
                <w:szCs w:val="21"/>
              </w:rPr>
            </w:pPr>
            <w:r>
              <w:rPr>
                <w:rFonts w:hint="eastAsia" w:ascii="宋体" w:hAnsi="宋体" w:cs="宋体"/>
                <w:color w:val="000000"/>
                <w:szCs w:val="21"/>
              </w:rPr>
              <w:t>1.3承诺书配置</w:t>
            </w:r>
          </w:p>
          <w:p w14:paraId="23A95F6D">
            <w:pPr>
              <w:spacing w:line="360" w:lineRule="auto"/>
              <w:rPr>
                <w:rFonts w:hint="eastAsia" w:ascii="宋体" w:hAnsi="宋体" w:cs="宋体"/>
                <w:color w:val="000000"/>
                <w:szCs w:val="21"/>
              </w:rPr>
            </w:pPr>
            <w:r>
              <w:rPr>
                <w:rFonts w:hint="eastAsia" w:ascii="宋体" w:hAnsi="宋体" w:cs="宋体"/>
                <w:color w:val="000000"/>
                <w:szCs w:val="21"/>
              </w:rPr>
              <w:t>支持证书邮寄承诺书等各类业务承诺书的模板配置，支持富文本编辑。</w:t>
            </w:r>
          </w:p>
          <w:p w14:paraId="23A95F6E">
            <w:pPr>
              <w:spacing w:line="360" w:lineRule="auto"/>
              <w:rPr>
                <w:rFonts w:hint="eastAsia" w:ascii="宋体" w:hAnsi="宋体" w:cs="宋体"/>
                <w:color w:val="000000"/>
                <w:szCs w:val="21"/>
              </w:rPr>
            </w:pPr>
            <w:r>
              <w:rPr>
                <w:rFonts w:hint="eastAsia" w:ascii="宋体" w:hAnsi="宋体" w:cs="宋体"/>
                <w:color w:val="000000"/>
                <w:szCs w:val="21"/>
              </w:rPr>
              <w:t>学生证书审核通过后，需可阅读该承诺书后方可提交证书邮寄信息。</w:t>
            </w:r>
          </w:p>
          <w:p w14:paraId="23A95F6F">
            <w:pPr>
              <w:spacing w:line="360" w:lineRule="auto"/>
              <w:rPr>
                <w:rFonts w:hint="eastAsia" w:ascii="宋体" w:hAnsi="宋体" w:cs="宋体"/>
                <w:color w:val="000000"/>
                <w:szCs w:val="21"/>
              </w:rPr>
            </w:pPr>
            <w:r>
              <w:rPr>
                <w:rFonts w:hint="eastAsia" w:ascii="宋体" w:hAnsi="宋体" w:cs="宋体"/>
                <w:color w:val="000000"/>
                <w:szCs w:val="21"/>
              </w:rPr>
              <w:t>2学生端功能</w:t>
            </w:r>
          </w:p>
          <w:p w14:paraId="23A95F70">
            <w:pPr>
              <w:spacing w:line="360" w:lineRule="auto"/>
              <w:rPr>
                <w:rFonts w:hint="eastAsia" w:ascii="宋体" w:hAnsi="宋体" w:cs="宋体"/>
                <w:color w:val="000000"/>
                <w:szCs w:val="21"/>
              </w:rPr>
            </w:pPr>
            <w:r>
              <w:rPr>
                <w:rFonts w:hint="eastAsia" w:ascii="宋体" w:hAnsi="宋体" w:cs="宋体"/>
                <w:color w:val="000000"/>
                <w:szCs w:val="21"/>
              </w:rPr>
              <w:t>2.1"一试三证"报名</w:t>
            </w:r>
          </w:p>
          <w:p w14:paraId="23A95F71">
            <w:pPr>
              <w:spacing w:line="360" w:lineRule="auto"/>
              <w:rPr>
                <w:rFonts w:hint="eastAsia" w:ascii="宋体" w:hAnsi="宋体" w:cs="宋体"/>
                <w:color w:val="000000"/>
                <w:szCs w:val="21"/>
              </w:rPr>
            </w:pPr>
            <w:r>
              <w:rPr>
                <w:rFonts w:hint="eastAsia" w:ascii="宋体" w:hAnsi="宋体" w:cs="宋体"/>
                <w:color w:val="000000"/>
                <w:szCs w:val="21"/>
              </w:rPr>
              <w:t>★学生可通过PC或移动端提交报表申请，系统应支持根据学生的专业自动匹配可报名的工种和等级。</w:t>
            </w:r>
          </w:p>
          <w:p w14:paraId="23A95F72">
            <w:pPr>
              <w:spacing w:line="360" w:lineRule="auto"/>
              <w:rPr>
                <w:rFonts w:hint="eastAsia" w:ascii="宋体" w:hAnsi="宋体" w:cs="宋体"/>
                <w:color w:val="000000"/>
                <w:szCs w:val="21"/>
              </w:rPr>
            </w:pPr>
            <w:r>
              <w:rPr>
                <w:rFonts w:hint="eastAsia" w:ascii="宋体" w:hAnsi="宋体" w:cs="宋体"/>
                <w:color w:val="000000"/>
                <w:szCs w:val="21"/>
              </w:rPr>
              <w:t>学生报名时系统应能够自动带出学号、姓名、学院、专业、年级等基础信息，无需学生手动填写。</w:t>
            </w:r>
          </w:p>
          <w:p w14:paraId="23A95F73">
            <w:pPr>
              <w:spacing w:line="360" w:lineRule="auto"/>
              <w:rPr>
                <w:rFonts w:hint="eastAsia" w:ascii="宋体" w:hAnsi="宋体" w:cs="宋体"/>
                <w:color w:val="000000"/>
                <w:szCs w:val="21"/>
              </w:rPr>
            </w:pPr>
            <w:r>
              <w:rPr>
                <w:rFonts w:hint="eastAsia" w:ascii="宋体" w:hAnsi="宋体" w:cs="宋体"/>
                <w:color w:val="000000"/>
                <w:szCs w:val="21"/>
              </w:rPr>
              <w:t>支持学生上传近期免冠白底彩照（用于证书制作）和上传相关证明材料。</w:t>
            </w:r>
          </w:p>
          <w:p w14:paraId="23A95F74">
            <w:pPr>
              <w:spacing w:line="360" w:lineRule="auto"/>
              <w:rPr>
                <w:rFonts w:hint="eastAsia" w:ascii="宋体" w:hAnsi="宋体" w:cs="宋体"/>
                <w:color w:val="000000"/>
                <w:szCs w:val="21"/>
              </w:rPr>
            </w:pPr>
            <w:r>
              <w:rPr>
                <w:rFonts w:hint="eastAsia" w:ascii="宋体" w:hAnsi="宋体" w:cs="宋体"/>
                <w:color w:val="000000"/>
                <w:szCs w:val="21"/>
              </w:rPr>
              <w:t>支持学生查询本人的报名信息，支持查询报名审核状态和审核结果。</w:t>
            </w:r>
          </w:p>
          <w:p w14:paraId="23A95F75">
            <w:pPr>
              <w:spacing w:line="360" w:lineRule="auto"/>
              <w:rPr>
                <w:rFonts w:hint="eastAsia" w:ascii="宋体" w:hAnsi="宋体" w:cs="宋体"/>
                <w:color w:val="000000"/>
                <w:szCs w:val="21"/>
              </w:rPr>
            </w:pPr>
            <w:r>
              <w:rPr>
                <w:rFonts w:hint="eastAsia" w:ascii="宋体" w:hAnsi="宋体" w:cs="宋体"/>
                <w:color w:val="000000"/>
                <w:szCs w:val="21"/>
              </w:rPr>
              <w:t>学生报名结果展示内容应包括：学生基本信息、理论成绩、技能成绩、综合评定等级、证书编号、认定时间等。</w:t>
            </w:r>
          </w:p>
          <w:p w14:paraId="23A95F76">
            <w:pPr>
              <w:spacing w:line="360" w:lineRule="auto"/>
              <w:rPr>
                <w:rFonts w:hint="eastAsia" w:ascii="宋体" w:hAnsi="宋体" w:cs="宋体"/>
                <w:color w:val="000000"/>
                <w:szCs w:val="21"/>
              </w:rPr>
            </w:pPr>
            <w:r>
              <w:rPr>
                <w:rFonts w:hint="eastAsia" w:ascii="宋体" w:hAnsi="宋体" w:cs="宋体"/>
                <w:color w:val="000000"/>
                <w:szCs w:val="21"/>
              </w:rPr>
              <w:t>2.2 证书领取</w:t>
            </w:r>
          </w:p>
          <w:p w14:paraId="23A95F77">
            <w:pPr>
              <w:spacing w:line="360" w:lineRule="auto"/>
              <w:rPr>
                <w:rFonts w:hint="eastAsia" w:ascii="宋体" w:hAnsi="宋体" w:cs="宋体"/>
                <w:color w:val="000000"/>
                <w:szCs w:val="21"/>
              </w:rPr>
            </w:pPr>
            <w:r>
              <w:rPr>
                <w:rFonts w:hint="eastAsia" w:ascii="宋体" w:hAnsi="宋体" w:cs="宋体"/>
                <w:color w:val="000000"/>
                <w:szCs w:val="21"/>
              </w:rPr>
              <w:t>支持线上线下两种领取方式选择，两种方式均需支持学生阅读承诺书并同意。</w:t>
            </w:r>
          </w:p>
          <w:p w14:paraId="23A95F78">
            <w:pPr>
              <w:spacing w:line="360" w:lineRule="auto"/>
              <w:rPr>
                <w:rFonts w:hint="eastAsia" w:ascii="宋体" w:hAnsi="宋体" w:cs="宋体"/>
                <w:color w:val="000000"/>
                <w:szCs w:val="21"/>
              </w:rPr>
            </w:pPr>
            <w:r>
              <w:rPr>
                <w:rFonts w:hint="eastAsia" w:ascii="宋体" w:hAnsi="宋体" w:cs="宋体"/>
                <w:color w:val="000000"/>
                <w:szCs w:val="21"/>
              </w:rPr>
              <w:t>线上领取（邮寄）：学生阅读并同意《证书邮寄承诺书》，填写详细收件地址、收件人姓名、联系电话等信息。</w:t>
            </w:r>
          </w:p>
          <w:p w14:paraId="23A95F79">
            <w:pPr>
              <w:spacing w:line="360" w:lineRule="auto"/>
              <w:rPr>
                <w:rFonts w:hint="eastAsia" w:ascii="宋体" w:hAnsi="宋体" w:cs="宋体"/>
                <w:color w:val="000000"/>
                <w:szCs w:val="21"/>
              </w:rPr>
            </w:pPr>
            <w:r>
              <w:rPr>
                <w:rFonts w:hint="eastAsia" w:ascii="宋体" w:hAnsi="宋体" w:cs="宋体"/>
                <w:color w:val="000000"/>
                <w:szCs w:val="21"/>
              </w:rPr>
              <w:t>支持学生查询邮寄物流信息查询，实时展示邮寄状态。</w:t>
            </w:r>
          </w:p>
          <w:p w14:paraId="23A95F7A">
            <w:pPr>
              <w:spacing w:line="360" w:lineRule="auto"/>
              <w:rPr>
                <w:rFonts w:hint="eastAsia" w:ascii="宋体" w:hAnsi="宋体" w:cs="宋体"/>
                <w:color w:val="000000"/>
                <w:szCs w:val="21"/>
              </w:rPr>
            </w:pPr>
            <w:r>
              <w:rPr>
                <w:rFonts w:hint="eastAsia" w:ascii="宋体" w:hAnsi="宋体" w:cs="宋体"/>
                <w:color w:val="000000"/>
                <w:szCs w:val="21"/>
              </w:rPr>
              <w:t>线下领取：系统自动展示领取地址、领取时间、联系方式等信息。</w:t>
            </w:r>
          </w:p>
          <w:p w14:paraId="23A95F7B">
            <w:pPr>
              <w:spacing w:line="360" w:lineRule="auto"/>
              <w:rPr>
                <w:rFonts w:hint="eastAsia" w:ascii="宋体" w:hAnsi="宋体" w:cs="宋体"/>
                <w:color w:val="000000"/>
                <w:szCs w:val="21"/>
              </w:rPr>
            </w:pPr>
            <w:r>
              <w:rPr>
                <w:rFonts w:hint="eastAsia" w:ascii="宋体" w:hAnsi="宋体" w:cs="宋体"/>
                <w:color w:val="000000"/>
                <w:szCs w:val="21"/>
              </w:rPr>
              <w:t>3管理端功能</w:t>
            </w:r>
          </w:p>
          <w:p w14:paraId="23A95F7C">
            <w:pPr>
              <w:spacing w:line="360" w:lineRule="auto"/>
              <w:rPr>
                <w:rFonts w:hint="eastAsia" w:ascii="宋体" w:hAnsi="宋体" w:cs="宋体"/>
                <w:color w:val="000000"/>
                <w:szCs w:val="21"/>
              </w:rPr>
            </w:pPr>
            <w:r>
              <w:rPr>
                <w:rFonts w:hint="eastAsia" w:ascii="宋体" w:hAnsi="宋体" w:cs="宋体"/>
                <w:color w:val="000000"/>
                <w:szCs w:val="21"/>
              </w:rPr>
              <w:t>3.1报名查询</w:t>
            </w:r>
          </w:p>
          <w:p w14:paraId="23A95F7D">
            <w:pPr>
              <w:spacing w:line="360" w:lineRule="auto"/>
              <w:rPr>
                <w:rFonts w:hint="eastAsia" w:ascii="宋体" w:hAnsi="宋体" w:cs="宋体"/>
                <w:color w:val="000000"/>
                <w:szCs w:val="21"/>
              </w:rPr>
            </w:pPr>
            <w:r>
              <w:rPr>
                <w:rFonts w:hint="eastAsia" w:ascii="宋体" w:hAnsi="宋体" w:cs="宋体"/>
                <w:color w:val="000000"/>
                <w:szCs w:val="21"/>
              </w:rPr>
              <w:t>支持按学院、专业、年级、工种、报名状态等多维度查询学生报名信息。</w:t>
            </w:r>
          </w:p>
          <w:p w14:paraId="23A95F7E">
            <w:pPr>
              <w:spacing w:line="360" w:lineRule="auto"/>
              <w:rPr>
                <w:rFonts w:hint="eastAsia" w:ascii="宋体" w:hAnsi="宋体" w:cs="宋体"/>
                <w:color w:val="000000"/>
                <w:szCs w:val="21"/>
              </w:rPr>
            </w:pPr>
            <w:r>
              <w:rPr>
                <w:rFonts w:hint="eastAsia" w:ascii="宋体" w:hAnsi="宋体" w:cs="宋体"/>
                <w:color w:val="000000"/>
                <w:szCs w:val="21"/>
              </w:rPr>
              <w:t>支持报名信息的批量导出，导出格式包含学生全部报名信息。</w:t>
            </w:r>
          </w:p>
          <w:p w14:paraId="23A95F7F">
            <w:pPr>
              <w:spacing w:line="360" w:lineRule="auto"/>
              <w:rPr>
                <w:rFonts w:hint="eastAsia" w:ascii="宋体" w:hAnsi="宋体" w:cs="宋体"/>
                <w:color w:val="000000"/>
                <w:szCs w:val="21"/>
              </w:rPr>
            </w:pPr>
            <w:r>
              <w:rPr>
                <w:rFonts w:hint="eastAsia" w:ascii="宋体" w:hAnsi="宋体" w:cs="宋体"/>
                <w:color w:val="000000"/>
                <w:szCs w:val="21"/>
              </w:rPr>
              <w:t>支持查看单个学生的报名信息。</w:t>
            </w:r>
          </w:p>
          <w:p w14:paraId="23A95F80">
            <w:pPr>
              <w:spacing w:line="360" w:lineRule="auto"/>
              <w:rPr>
                <w:rFonts w:hint="eastAsia" w:ascii="宋体" w:hAnsi="宋体" w:cs="宋体"/>
                <w:color w:val="000000"/>
                <w:szCs w:val="21"/>
              </w:rPr>
            </w:pPr>
            <w:r>
              <w:rPr>
                <w:rFonts w:hint="eastAsia" w:ascii="宋体" w:hAnsi="宋体" w:cs="宋体"/>
                <w:color w:val="000000"/>
                <w:szCs w:val="21"/>
              </w:rPr>
              <w:t>3.2数据管理</w:t>
            </w:r>
          </w:p>
          <w:p w14:paraId="23A95F81">
            <w:pPr>
              <w:spacing w:line="360" w:lineRule="auto"/>
              <w:rPr>
                <w:rFonts w:hint="eastAsia" w:ascii="宋体" w:hAnsi="宋体" w:cs="宋体"/>
                <w:color w:val="000000"/>
                <w:szCs w:val="21"/>
              </w:rPr>
            </w:pPr>
            <w:r>
              <w:rPr>
                <w:rFonts w:hint="eastAsia" w:ascii="宋体" w:hAnsi="宋体" w:cs="宋体"/>
                <w:color w:val="000000"/>
                <w:szCs w:val="21"/>
              </w:rPr>
              <w:t>支持与学校教务系统对接，自动抓取学生课程成绩，无需人工导入。</w:t>
            </w:r>
          </w:p>
          <w:p w14:paraId="23A95F82">
            <w:pPr>
              <w:spacing w:line="360" w:lineRule="auto"/>
              <w:rPr>
                <w:rFonts w:hint="eastAsia" w:ascii="宋体" w:hAnsi="宋体" w:cs="宋体"/>
                <w:color w:val="000000"/>
                <w:szCs w:val="21"/>
              </w:rPr>
            </w:pPr>
            <w:r>
              <w:rPr>
                <w:rFonts w:hint="eastAsia" w:ascii="宋体" w:hAnsi="宋体" w:cs="宋体"/>
                <w:color w:val="000000"/>
                <w:szCs w:val="21"/>
              </w:rPr>
              <w:t>支持按照预设规则自动计算理论成绩、技能成绩，综合评定等级，替代人工核对，提升效率。</w:t>
            </w:r>
          </w:p>
          <w:p w14:paraId="23A95F83">
            <w:pPr>
              <w:spacing w:line="360" w:lineRule="auto"/>
              <w:rPr>
                <w:rFonts w:hint="eastAsia" w:ascii="宋体" w:hAnsi="宋体" w:cs="宋体"/>
                <w:color w:val="000000"/>
                <w:szCs w:val="21"/>
              </w:rPr>
            </w:pPr>
            <w:r>
              <w:rPr>
                <w:rFonts w:hint="eastAsia" w:ascii="宋体" w:hAnsi="宋体" w:cs="宋体"/>
                <w:color w:val="000000"/>
                <w:szCs w:val="21"/>
              </w:rPr>
              <w:t>管理员可导入证书编号、物流等信息，学生登录后可查询管理员已导入的信息。</w:t>
            </w:r>
          </w:p>
          <w:p w14:paraId="23A95F84">
            <w:pPr>
              <w:spacing w:line="360" w:lineRule="auto"/>
              <w:rPr>
                <w:rFonts w:hint="eastAsia" w:ascii="宋体" w:hAnsi="宋体" w:cs="宋体"/>
                <w:color w:val="000000"/>
                <w:szCs w:val="21"/>
              </w:rPr>
            </w:pPr>
            <w:r>
              <w:rPr>
                <w:rFonts w:hint="eastAsia" w:ascii="宋体" w:hAnsi="宋体" w:cs="宋体"/>
                <w:color w:val="000000"/>
                <w:szCs w:val="21"/>
              </w:rPr>
              <w:t>3.3数据上报</w:t>
            </w:r>
          </w:p>
          <w:p w14:paraId="23A95F85">
            <w:pPr>
              <w:spacing w:line="360" w:lineRule="auto"/>
              <w:rPr>
                <w:rFonts w:hint="eastAsia" w:ascii="宋体" w:hAnsi="宋体" w:cs="宋体"/>
                <w:color w:val="000000"/>
                <w:szCs w:val="21"/>
              </w:rPr>
            </w:pPr>
            <w:r>
              <w:rPr>
                <w:rFonts w:hint="eastAsia" w:ascii="宋体" w:hAnsi="宋体" w:cs="宋体"/>
                <w:color w:val="000000"/>
                <w:szCs w:val="21"/>
              </w:rPr>
              <w:t>★可一键导出符合安徽省职业技能等级认定系统格式的《职业技能申报与考核信息汇总表》，无需人工整理数据。</w:t>
            </w:r>
          </w:p>
          <w:p w14:paraId="23A95F86">
            <w:pPr>
              <w:spacing w:line="360" w:lineRule="auto"/>
              <w:rPr>
                <w:rFonts w:hint="eastAsia" w:ascii="宋体" w:hAnsi="宋体" w:cs="宋体"/>
                <w:color w:val="000000"/>
                <w:szCs w:val="21"/>
              </w:rPr>
            </w:pPr>
            <w:r>
              <w:rPr>
                <w:rFonts w:hint="eastAsia" w:ascii="宋体" w:hAnsi="宋体" w:cs="宋体"/>
                <w:color w:val="000000"/>
                <w:szCs w:val="21"/>
              </w:rPr>
              <w:t>4系统管理</w:t>
            </w:r>
          </w:p>
          <w:p w14:paraId="23A95F87">
            <w:pPr>
              <w:spacing w:line="360" w:lineRule="auto"/>
              <w:rPr>
                <w:rFonts w:hint="eastAsia" w:ascii="宋体" w:hAnsi="宋体" w:cs="宋体"/>
                <w:color w:val="000000"/>
                <w:szCs w:val="21"/>
              </w:rPr>
            </w:pPr>
            <w:r>
              <w:rPr>
                <w:rFonts w:hint="eastAsia" w:ascii="宋体" w:hAnsi="宋体" w:cs="宋体"/>
                <w:color w:val="000000"/>
                <w:szCs w:val="21"/>
              </w:rPr>
              <w:t>4.1.流程设计及管理</w:t>
            </w:r>
          </w:p>
          <w:p w14:paraId="23A95F88">
            <w:pPr>
              <w:spacing w:line="360" w:lineRule="auto"/>
              <w:rPr>
                <w:rFonts w:hint="eastAsia" w:ascii="宋体" w:hAnsi="宋体" w:cs="宋体"/>
                <w:color w:val="000000"/>
                <w:szCs w:val="21"/>
              </w:rPr>
            </w:pPr>
            <w:r>
              <w:rPr>
                <w:rFonts w:hint="eastAsia" w:ascii="宋体" w:hAnsi="宋体" w:cs="宋体"/>
                <w:color w:val="000000"/>
                <w:szCs w:val="21"/>
              </w:rPr>
              <w:t>审批流程需采用web可视化设计流程设计，无需编写代码实现业务流程设计，按照 BPMN 流对象与类型进行设置。</w:t>
            </w:r>
          </w:p>
          <w:p w14:paraId="23A95F89">
            <w:pPr>
              <w:spacing w:line="360" w:lineRule="auto"/>
              <w:rPr>
                <w:rFonts w:hint="eastAsia" w:ascii="宋体" w:hAnsi="宋体" w:cs="宋体"/>
                <w:color w:val="000000"/>
                <w:szCs w:val="21"/>
              </w:rPr>
            </w:pPr>
            <w:r>
              <w:rPr>
                <w:rFonts w:hint="eastAsia" w:ascii="宋体" w:hAnsi="宋体" w:cs="宋体"/>
                <w:color w:val="000000"/>
                <w:szCs w:val="21"/>
              </w:rPr>
              <w:t>(1)需支持多种流程模式，至少包括顺序、分支、并发、子流程、条件路由、并行会签、串行会签等流程。需支持多种流程操作权限设置， 至少包括提交、退回、追回、转办、终止、催办、加签、跳转、挂起。</w:t>
            </w:r>
          </w:p>
          <w:p w14:paraId="23A95F8A">
            <w:pPr>
              <w:spacing w:line="360" w:lineRule="auto"/>
              <w:rPr>
                <w:rFonts w:hint="eastAsia" w:ascii="宋体" w:hAnsi="宋体" w:cs="宋体"/>
                <w:color w:val="000000"/>
                <w:szCs w:val="21"/>
              </w:rPr>
            </w:pPr>
            <w:r>
              <w:rPr>
                <w:rFonts w:hint="eastAsia" w:ascii="宋体" w:hAnsi="宋体" w:cs="宋体"/>
                <w:color w:val="000000"/>
                <w:szCs w:val="21"/>
              </w:rPr>
              <w:t>(2)需提供丰富的任务节点类型，至少包括单人活动、多人并行、多人顺序、多人单一几种类型。</w:t>
            </w:r>
          </w:p>
          <w:p w14:paraId="23A95F8B">
            <w:pPr>
              <w:spacing w:line="360" w:lineRule="auto"/>
              <w:rPr>
                <w:rFonts w:hint="eastAsia" w:ascii="宋体" w:hAnsi="宋体" w:cs="宋体"/>
                <w:color w:val="000000"/>
                <w:szCs w:val="21"/>
              </w:rPr>
            </w:pPr>
            <w:r>
              <w:rPr>
                <w:rFonts w:hint="eastAsia" w:ascii="宋体" w:hAnsi="宋体" w:cs="宋体"/>
                <w:color w:val="000000"/>
                <w:szCs w:val="21"/>
              </w:rPr>
              <w:t>(3)需支持多种办理人设置方式，支持按照人员、部门、用户组、岗位方式设置流程节点办理人。</w:t>
            </w:r>
          </w:p>
          <w:p w14:paraId="23A95F8C">
            <w:pPr>
              <w:spacing w:line="360" w:lineRule="auto"/>
              <w:rPr>
                <w:rFonts w:hint="eastAsia" w:ascii="宋体" w:hAnsi="宋体" w:cs="宋体"/>
                <w:color w:val="000000"/>
                <w:szCs w:val="21"/>
              </w:rPr>
            </w:pPr>
            <w:r>
              <w:rPr>
                <w:rFonts w:hint="eastAsia" w:ascii="宋体" w:hAnsi="宋体" w:cs="宋体"/>
                <w:color w:val="000000"/>
                <w:szCs w:val="21"/>
              </w:rPr>
              <w:t>(4)需支持多表单设置，在不同流程节点设置不同的表单，每个流程节点上支持 PC、移动表单，系统须自动根据访问终端属性定位到 PC 或者移动表单。</w:t>
            </w:r>
          </w:p>
          <w:p w14:paraId="23A95F8D">
            <w:pPr>
              <w:spacing w:line="360" w:lineRule="auto"/>
              <w:rPr>
                <w:rFonts w:hint="eastAsia" w:ascii="宋体" w:hAnsi="宋体" w:cs="宋体"/>
                <w:color w:val="000000"/>
                <w:szCs w:val="21"/>
              </w:rPr>
            </w:pPr>
            <w:r>
              <w:rPr>
                <w:rFonts w:hint="eastAsia" w:ascii="宋体" w:hAnsi="宋体" w:cs="宋体"/>
                <w:color w:val="000000"/>
                <w:szCs w:val="21"/>
              </w:rPr>
              <w:t>(5)需支持人工选择下一步分支环节，并可配置这项功能在哪个环节启用。</w:t>
            </w:r>
          </w:p>
          <w:p w14:paraId="23A95F8E">
            <w:pPr>
              <w:spacing w:line="360" w:lineRule="auto"/>
              <w:rPr>
                <w:rFonts w:hint="eastAsia" w:ascii="宋体" w:hAnsi="宋体" w:cs="宋体"/>
                <w:color w:val="000000"/>
                <w:szCs w:val="21"/>
              </w:rPr>
            </w:pPr>
            <w:r>
              <w:rPr>
                <w:rFonts w:hint="eastAsia" w:ascii="宋体" w:hAnsi="宋体" w:cs="宋体"/>
                <w:color w:val="000000"/>
                <w:szCs w:val="21"/>
              </w:rPr>
              <w:t>(6)需支持人工选择下一步处理人，并可配置这项功能在哪个环节启用。</w:t>
            </w:r>
          </w:p>
          <w:p w14:paraId="23A95F8F">
            <w:pPr>
              <w:spacing w:line="360" w:lineRule="auto"/>
              <w:rPr>
                <w:rFonts w:hint="eastAsia" w:ascii="宋体" w:hAnsi="宋体" w:cs="宋体"/>
                <w:color w:val="000000"/>
                <w:szCs w:val="21"/>
              </w:rPr>
            </w:pPr>
            <w:r>
              <w:rPr>
                <w:rFonts w:hint="eastAsia" w:ascii="宋体" w:hAnsi="宋体" w:cs="宋体"/>
                <w:color w:val="000000"/>
                <w:szCs w:val="21"/>
              </w:rPr>
              <w:t>(7)需支持配置判断分支条件，根据登录人的基本信息和业务字段信息，进行 AND OR 等布尔表达式进行判断。</w:t>
            </w:r>
          </w:p>
          <w:p w14:paraId="23A95F90">
            <w:pPr>
              <w:spacing w:line="360" w:lineRule="auto"/>
              <w:rPr>
                <w:rFonts w:hint="eastAsia" w:ascii="宋体" w:hAnsi="宋体" w:cs="宋体"/>
                <w:color w:val="000000"/>
                <w:szCs w:val="21"/>
              </w:rPr>
            </w:pPr>
            <w:r>
              <w:rPr>
                <w:rFonts w:hint="eastAsia" w:ascii="宋体" w:hAnsi="宋体" w:cs="宋体"/>
                <w:color w:val="000000"/>
                <w:szCs w:val="21"/>
              </w:rPr>
              <w:t>4.2.需支持多版本管理及数据模型配置</w:t>
            </w:r>
          </w:p>
          <w:p w14:paraId="23A95F91">
            <w:pPr>
              <w:spacing w:line="360" w:lineRule="auto"/>
              <w:rPr>
                <w:rFonts w:hint="eastAsia" w:ascii="宋体" w:hAnsi="宋体" w:cs="宋体"/>
                <w:color w:val="000000"/>
                <w:szCs w:val="21"/>
              </w:rPr>
            </w:pPr>
            <w:r>
              <w:rPr>
                <w:rFonts w:hint="eastAsia" w:ascii="宋体" w:hAnsi="宋体" w:cs="宋体"/>
                <w:color w:val="000000"/>
                <w:szCs w:val="21"/>
              </w:rPr>
              <w:t>★支持将修改后的流程保存为新的版本，旧的版本可恢复。支持业务表结构调整，包括增减字段、调整字段显示名称、字段大小、字段类型、字段分组等。根据后续业务开展需要，可灵活扩充数据模型。</w:t>
            </w:r>
          </w:p>
          <w:p w14:paraId="23A95F92">
            <w:pPr>
              <w:spacing w:line="360" w:lineRule="auto"/>
              <w:rPr>
                <w:rFonts w:hint="eastAsia" w:ascii="宋体" w:hAnsi="宋体" w:cs="宋体"/>
                <w:color w:val="000000"/>
                <w:szCs w:val="21"/>
              </w:rPr>
            </w:pPr>
            <w:r>
              <w:rPr>
                <w:rFonts w:hint="eastAsia" w:ascii="宋体" w:hAnsi="宋体" w:cs="宋体"/>
                <w:color w:val="000000"/>
                <w:szCs w:val="21"/>
              </w:rPr>
              <w:t>4.3.在线升级部署</w:t>
            </w:r>
          </w:p>
          <w:p w14:paraId="23A95F93">
            <w:pPr>
              <w:spacing w:line="360" w:lineRule="auto"/>
              <w:rPr>
                <w:rFonts w:hint="eastAsia" w:ascii="宋体" w:hAnsi="宋体" w:cs="宋体"/>
                <w:color w:val="000000"/>
                <w:szCs w:val="21"/>
              </w:rPr>
            </w:pPr>
            <w:r>
              <w:rPr>
                <w:rFonts w:hint="eastAsia" w:ascii="宋体" w:hAnsi="宋体" w:cs="宋体"/>
                <w:color w:val="000000"/>
                <w:szCs w:val="21"/>
              </w:rPr>
              <w:t>★需支持应用程序的在线升级部署，可及时获取各应用程序的最新版本迭代情况。</w:t>
            </w:r>
          </w:p>
          <w:p w14:paraId="23A95F94">
            <w:pPr>
              <w:spacing w:line="360" w:lineRule="auto"/>
              <w:rPr>
                <w:rFonts w:hint="eastAsia" w:ascii="宋体" w:hAnsi="宋体" w:cs="宋体"/>
                <w:color w:val="000000"/>
                <w:szCs w:val="21"/>
              </w:rPr>
            </w:pPr>
            <w:r>
              <w:rPr>
                <w:rFonts w:hint="eastAsia" w:ascii="宋体" w:hAnsi="宋体" w:cs="宋体"/>
                <w:color w:val="000000"/>
                <w:szCs w:val="21"/>
              </w:rPr>
              <w:t>4.4.操作审计</w:t>
            </w:r>
          </w:p>
          <w:p w14:paraId="23A95F95">
            <w:pPr>
              <w:spacing w:line="360" w:lineRule="auto"/>
              <w:rPr>
                <w:rFonts w:hint="eastAsia" w:ascii="宋体" w:hAnsi="宋体" w:cs="宋体"/>
                <w:color w:val="000000"/>
                <w:szCs w:val="21"/>
              </w:rPr>
            </w:pPr>
            <w:r>
              <w:rPr>
                <w:rFonts w:hint="eastAsia" w:ascii="宋体" w:hAnsi="宋体" w:cs="宋体"/>
                <w:color w:val="000000"/>
                <w:szCs w:val="21"/>
              </w:rPr>
              <w:t>★记录系统的操作记录，详细记录操作人员、操作时间、 IP 地址、操作功能模块等内容。</w:t>
            </w:r>
          </w:p>
          <w:p w14:paraId="23A95F96">
            <w:pPr>
              <w:spacing w:line="360" w:lineRule="auto"/>
              <w:rPr>
                <w:rFonts w:hint="eastAsia" w:ascii="宋体" w:hAnsi="宋体" w:cs="宋体"/>
                <w:color w:val="000000"/>
                <w:szCs w:val="21"/>
              </w:rPr>
            </w:pPr>
            <w:r>
              <w:rPr>
                <w:rFonts w:hint="eastAsia" w:ascii="宋体" w:hAnsi="宋体" w:cs="宋体"/>
                <w:color w:val="000000"/>
                <w:szCs w:val="21"/>
              </w:rPr>
              <w:t>5.系统集成要求</w:t>
            </w:r>
          </w:p>
          <w:p w14:paraId="23A95F97">
            <w:pPr>
              <w:spacing w:line="360" w:lineRule="auto"/>
              <w:rPr>
                <w:rFonts w:hint="eastAsia" w:ascii="宋体" w:hAnsi="宋体" w:cs="宋体"/>
                <w:color w:val="000000"/>
                <w:szCs w:val="21"/>
              </w:rPr>
            </w:pPr>
            <w:r>
              <w:rPr>
                <w:rFonts w:hint="eastAsia" w:ascii="宋体" w:hAnsi="宋体" w:cs="宋体"/>
                <w:color w:val="000000"/>
                <w:szCs w:val="21"/>
              </w:rPr>
              <w:t>5.1统一身份认证</w:t>
            </w:r>
          </w:p>
          <w:p w14:paraId="23A95F98">
            <w:pPr>
              <w:spacing w:line="360" w:lineRule="auto"/>
              <w:rPr>
                <w:rFonts w:hint="eastAsia" w:ascii="宋体" w:hAnsi="宋体" w:cs="宋体"/>
                <w:color w:val="000000"/>
                <w:szCs w:val="21"/>
              </w:rPr>
            </w:pPr>
            <w:r>
              <w:rPr>
                <w:rFonts w:hint="eastAsia" w:ascii="宋体" w:hAnsi="宋体" w:cs="宋体"/>
                <w:color w:val="000000"/>
                <w:szCs w:val="21"/>
              </w:rPr>
              <w:t xml:space="preserve"> 支持与学校现有统一身份认证系统对接，实现单点登录，学生、管理员无需额外注册账号。</w:t>
            </w:r>
          </w:p>
          <w:p w14:paraId="23A95F99">
            <w:pPr>
              <w:spacing w:line="360" w:lineRule="auto"/>
              <w:rPr>
                <w:rFonts w:hint="eastAsia" w:ascii="宋体" w:hAnsi="宋体" w:cs="宋体"/>
                <w:color w:val="000000"/>
                <w:szCs w:val="21"/>
              </w:rPr>
            </w:pPr>
            <w:r>
              <w:rPr>
                <w:rFonts w:hint="eastAsia" w:ascii="宋体" w:hAnsi="宋体" w:cs="宋体"/>
                <w:color w:val="000000"/>
                <w:szCs w:val="21"/>
              </w:rPr>
              <w:t>5.2办事大厅平台集成</w:t>
            </w:r>
          </w:p>
          <w:p w14:paraId="23A95F9A">
            <w:pPr>
              <w:spacing w:line="360" w:lineRule="auto"/>
              <w:rPr>
                <w:rFonts w:hint="eastAsia" w:ascii="宋体" w:hAnsi="宋体" w:cs="宋体"/>
                <w:color w:val="000000"/>
                <w:szCs w:val="21"/>
              </w:rPr>
            </w:pPr>
            <w:r>
              <w:rPr>
                <w:rFonts w:hint="eastAsia" w:ascii="宋体" w:hAnsi="宋体" w:cs="宋体"/>
                <w:color w:val="000000"/>
                <w:szCs w:val="21"/>
              </w:rPr>
              <w:t>支持将此系统按照微应用方式集成到办事大厅平台，并支持在办事大厅平台中统一授权管理。</w:t>
            </w:r>
          </w:p>
          <w:p w14:paraId="23A95F9B">
            <w:pPr>
              <w:spacing w:line="360" w:lineRule="auto"/>
              <w:rPr>
                <w:rFonts w:hint="eastAsia" w:ascii="宋体" w:hAnsi="宋体" w:cs="宋体"/>
                <w:color w:val="000000"/>
                <w:szCs w:val="21"/>
              </w:rPr>
            </w:pPr>
            <w:r>
              <w:rPr>
                <w:rFonts w:hint="eastAsia" w:ascii="宋体" w:hAnsi="宋体" w:cs="宋体"/>
                <w:color w:val="000000"/>
                <w:szCs w:val="21"/>
              </w:rPr>
              <w:t>5.3消息、待办集成</w:t>
            </w:r>
          </w:p>
          <w:p w14:paraId="23A95F9C">
            <w:pPr>
              <w:spacing w:line="360" w:lineRule="auto"/>
              <w:rPr>
                <w:rFonts w:hint="eastAsia" w:ascii="宋体" w:hAnsi="宋体" w:cs="宋体"/>
                <w:color w:val="000000"/>
                <w:szCs w:val="21"/>
              </w:rPr>
            </w:pPr>
            <w:r>
              <w:rPr>
                <w:rFonts w:hint="eastAsia" w:ascii="宋体" w:hAnsi="宋体" w:cs="宋体"/>
                <w:color w:val="000000"/>
                <w:szCs w:val="21"/>
              </w:rPr>
              <w:t>需支持与学校现有消息中心、待办系统对接，报名审核通知、结果通知、证书领取通知等消息自动推送至对应人员。</w:t>
            </w:r>
          </w:p>
          <w:p w14:paraId="23A95F9D">
            <w:pPr>
              <w:spacing w:line="360" w:lineRule="auto"/>
              <w:rPr>
                <w:rFonts w:hint="eastAsia" w:ascii="宋体" w:hAnsi="宋体" w:cs="宋体"/>
                <w:color w:val="000000"/>
                <w:szCs w:val="21"/>
              </w:rPr>
            </w:pPr>
            <w:r>
              <w:rPr>
                <w:rFonts w:hint="eastAsia" w:ascii="宋体" w:hAnsi="宋体" w:cs="宋体"/>
                <w:color w:val="000000"/>
                <w:szCs w:val="21"/>
              </w:rPr>
              <w:t xml:space="preserve"> 支持短信、办事大厅、学校官方移动端等多渠道通知方式，确保重要消息及时送达。</w:t>
            </w:r>
          </w:p>
          <w:p w14:paraId="23A95F9E">
            <w:pPr>
              <w:spacing w:line="360" w:lineRule="auto"/>
              <w:rPr>
                <w:rFonts w:hint="eastAsia" w:ascii="宋体" w:hAnsi="宋体" w:cs="宋体"/>
                <w:color w:val="000000"/>
                <w:szCs w:val="21"/>
              </w:rPr>
            </w:pPr>
            <w:r>
              <w:rPr>
                <w:rFonts w:hint="eastAsia" w:ascii="宋体" w:hAnsi="宋体" w:cs="宋体"/>
                <w:color w:val="000000"/>
                <w:szCs w:val="21"/>
              </w:rPr>
              <w:t>5.4数据中台对接</w:t>
            </w:r>
          </w:p>
          <w:p w14:paraId="23A95F9F">
            <w:pPr>
              <w:spacing w:line="360" w:lineRule="auto"/>
              <w:rPr>
                <w:rFonts w:hint="eastAsia" w:ascii="宋体" w:hAnsi="宋体" w:cs="宋体"/>
                <w:color w:val="000000"/>
                <w:szCs w:val="21"/>
              </w:rPr>
            </w:pPr>
            <w:r>
              <w:rPr>
                <w:rFonts w:hint="eastAsia" w:ascii="宋体" w:hAnsi="宋体" w:cs="宋体"/>
                <w:color w:val="000000"/>
                <w:szCs w:val="21"/>
              </w:rPr>
              <w:t>支持与学校数据中台对接，获取学生、专业、课程、成绩等数据，实现数据的统一管理、共享、分析。</w:t>
            </w:r>
          </w:p>
          <w:p w14:paraId="23A95FA0">
            <w:pPr>
              <w:spacing w:line="360" w:lineRule="auto"/>
              <w:rPr>
                <w:rFonts w:hint="eastAsia" w:ascii="宋体" w:hAnsi="宋体" w:cs="宋体"/>
                <w:color w:val="000000"/>
                <w:szCs w:val="21"/>
              </w:rPr>
            </w:pPr>
            <w:r>
              <w:rPr>
                <w:rFonts w:hint="eastAsia" w:ascii="宋体" w:hAnsi="宋体" w:cs="宋体"/>
                <w:color w:val="000000"/>
                <w:szCs w:val="21"/>
              </w:rPr>
              <w:t>6工程实施服务要求</w:t>
            </w:r>
          </w:p>
          <w:p w14:paraId="23A95FA1">
            <w:pPr>
              <w:spacing w:line="360" w:lineRule="auto"/>
              <w:rPr>
                <w:rFonts w:hint="eastAsia" w:ascii="宋体" w:hAnsi="宋体" w:cs="宋体"/>
                <w:color w:val="000000"/>
                <w:szCs w:val="21"/>
              </w:rPr>
            </w:pPr>
            <w:r>
              <w:rPr>
                <w:rFonts w:hint="eastAsia" w:ascii="宋体" w:hAnsi="宋体" w:cs="宋体"/>
                <w:color w:val="000000"/>
                <w:szCs w:val="21"/>
              </w:rPr>
              <w:t>6.1.时间进度要求</w:t>
            </w:r>
          </w:p>
          <w:p w14:paraId="23A95FA2">
            <w:pPr>
              <w:spacing w:line="360" w:lineRule="auto"/>
              <w:rPr>
                <w:rFonts w:hint="eastAsia" w:ascii="宋体" w:hAnsi="宋体" w:cs="宋体"/>
                <w:color w:val="000000"/>
                <w:szCs w:val="21"/>
              </w:rPr>
            </w:pPr>
            <w:r>
              <w:rPr>
                <w:rFonts w:hint="eastAsia" w:ascii="宋体" w:hAnsi="宋体" w:cs="宋体"/>
                <w:color w:val="000000"/>
                <w:szCs w:val="21"/>
              </w:rPr>
              <w:t>本次项目须严格按工期部署完成，并达到采购人的要求。投标方需要在投标文件中给出预实施工期进度表。采购人要求签订合同后1个月内完成项目建设工作。</w:t>
            </w:r>
          </w:p>
          <w:p w14:paraId="23A95FA3">
            <w:pPr>
              <w:spacing w:line="360" w:lineRule="auto"/>
              <w:rPr>
                <w:rFonts w:hint="eastAsia" w:ascii="宋体" w:hAnsi="宋体" w:cs="宋体"/>
                <w:color w:val="000000"/>
                <w:szCs w:val="21"/>
              </w:rPr>
            </w:pPr>
            <w:r>
              <w:rPr>
                <w:rFonts w:hint="eastAsia" w:ascii="宋体" w:hAnsi="宋体" w:cs="宋体"/>
                <w:color w:val="000000"/>
                <w:szCs w:val="21"/>
              </w:rPr>
              <w:t>6.2.实施方案</w:t>
            </w:r>
          </w:p>
          <w:p w14:paraId="23A95FA4">
            <w:pPr>
              <w:spacing w:line="360" w:lineRule="auto"/>
              <w:rPr>
                <w:rFonts w:hint="eastAsia" w:ascii="宋体" w:hAnsi="宋体" w:cs="宋体"/>
                <w:color w:val="000000"/>
                <w:szCs w:val="21"/>
              </w:rPr>
            </w:pPr>
            <w:r>
              <w:rPr>
                <w:rFonts w:hint="eastAsia" w:ascii="宋体" w:hAnsi="宋体" w:cs="宋体"/>
                <w:color w:val="000000"/>
                <w:szCs w:val="21"/>
              </w:rPr>
              <w:t>该项目系统需求复杂，为了保证实施过程顺利有序，投标人必须作出详尽缜密的设计方案和实施方案，以交付学校使用，主要内容应包括以下几个方面：</w:t>
            </w:r>
          </w:p>
          <w:p w14:paraId="23A95FA5">
            <w:pPr>
              <w:spacing w:line="360" w:lineRule="auto"/>
              <w:rPr>
                <w:rFonts w:hint="eastAsia" w:ascii="宋体" w:hAnsi="宋体" w:cs="宋体"/>
                <w:color w:val="000000"/>
                <w:szCs w:val="21"/>
              </w:rPr>
            </w:pPr>
            <w:r>
              <w:rPr>
                <w:rFonts w:hint="eastAsia" w:ascii="宋体" w:hAnsi="宋体" w:cs="宋体"/>
                <w:color w:val="000000"/>
                <w:szCs w:val="21"/>
              </w:rPr>
              <w:t>（1）组织架构与职责</w:t>
            </w:r>
          </w:p>
          <w:p w14:paraId="23A95FA6">
            <w:pPr>
              <w:spacing w:line="360" w:lineRule="auto"/>
              <w:rPr>
                <w:rFonts w:hint="eastAsia" w:ascii="宋体" w:hAnsi="宋体" w:cs="宋体"/>
                <w:color w:val="000000"/>
                <w:szCs w:val="21"/>
              </w:rPr>
            </w:pPr>
            <w:r>
              <w:rPr>
                <w:rFonts w:hint="eastAsia" w:ascii="宋体" w:hAnsi="宋体" w:cs="宋体"/>
                <w:color w:val="000000"/>
                <w:szCs w:val="21"/>
              </w:rPr>
              <w:t xml:space="preserve">描述项目成员的组成，以及成员的职责；提供项目经理一人，负责全程跟踪项目的开发与实施，直至该项目验收。 </w:t>
            </w:r>
          </w:p>
          <w:p w14:paraId="23A95FA7">
            <w:pPr>
              <w:spacing w:line="360" w:lineRule="auto"/>
              <w:rPr>
                <w:rFonts w:hint="eastAsia" w:ascii="宋体" w:hAnsi="宋体" w:cs="宋体"/>
                <w:color w:val="000000"/>
                <w:szCs w:val="21"/>
              </w:rPr>
            </w:pPr>
            <w:r>
              <w:rPr>
                <w:rFonts w:hint="eastAsia" w:ascii="宋体" w:hAnsi="宋体" w:cs="宋体"/>
                <w:color w:val="000000"/>
                <w:szCs w:val="21"/>
              </w:rPr>
              <w:t>（2）实施阶段划分</w:t>
            </w:r>
          </w:p>
          <w:p w14:paraId="23A95FA8">
            <w:pPr>
              <w:spacing w:line="360" w:lineRule="auto"/>
              <w:rPr>
                <w:rFonts w:hint="eastAsia" w:ascii="宋体" w:hAnsi="宋体" w:cs="宋体"/>
                <w:color w:val="000000"/>
                <w:szCs w:val="21"/>
              </w:rPr>
            </w:pPr>
            <w:r>
              <w:rPr>
                <w:rFonts w:hint="eastAsia" w:ascii="宋体" w:hAnsi="宋体" w:cs="宋体"/>
                <w:color w:val="000000"/>
                <w:szCs w:val="21"/>
              </w:rPr>
              <w:t>描述各个实施阶段的工作范围、内容、人力投入、过程、责任、交付成果等。</w:t>
            </w:r>
          </w:p>
          <w:p w14:paraId="23A95FA9">
            <w:pPr>
              <w:spacing w:line="360" w:lineRule="auto"/>
              <w:rPr>
                <w:rFonts w:hint="eastAsia" w:ascii="宋体" w:hAnsi="宋体" w:cs="宋体"/>
                <w:color w:val="000000"/>
                <w:szCs w:val="21"/>
              </w:rPr>
            </w:pPr>
            <w:r>
              <w:rPr>
                <w:rFonts w:hint="eastAsia" w:ascii="宋体" w:hAnsi="宋体" w:cs="宋体"/>
                <w:color w:val="000000"/>
                <w:szCs w:val="21"/>
              </w:rPr>
              <w:t>（3）项目管理要求</w:t>
            </w:r>
          </w:p>
          <w:p w14:paraId="23A95FAA">
            <w:pPr>
              <w:spacing w:line="360" w:lineRule="auto"/>
              <w:rPr>
                <w:rFonts w:hint="eastAsia" w:ascii="宋体" w:hAnsi="宋体" w:cs="宋体"/>
                <w:color w:val="000000"/>
                <w:szCs w:val="21"/>
              </w:rPr>
            </w:pPr>
            <w:r>
              <w:rPr>
                <w:rFonts w:hint="eastAsia" w:ascii="宋体" w:hAnsi="宋体" w:cs="宋体"/>
                <w:color w:val="000000"/>
                <w:szCs w:val="21"/>
              </w:rPr>
              <w:t>投标方必须提出针对本项目的科学严格的管理方案与措施，保证项目全面顺利实施。</w:t>
            </w:r>
          </w:p>
          <w:p w14:paraId="23A95FAB">
            <w:pPr>
              <w:spacing w:line="360" w:lineRule="auto"/>
              <w:rPr>
                <w:rFonts w:hint="eastAsia" w:ascii="宋体" w:hAnsi="宋体" w:cs="宋体"/>
                <w:color w:val="000000"/>
                <w:szCs w:val="21"/>
              </w:rPr>
            </w:pPr>
            <w:r>
              <w:rPr>
                <w:rFonts w:hint="eastAsia" w:ascii="宋体" w:hAnsi="宋体" w:cs="宋体"/>
                <w:color w:val="000000"/>
                <w:szCs w:val="21"/>
              </w:rPr>
              <w:t>（4）项目配置管理</w:t>
            </w:r>
          </w:p>
          <w:p w14:paraId="23A95FAC">
            <w:pPr>
              <w:spacing w:line="360" w:lineRule="auto"/>
              <w:rPr>
                <w:rFonts w:hint="eastAsia" w:ascii="宋体" w:hAnsi="宋体" w:cs="宋体"/>
                <w:color w:val="000000"/>
                <w:szCs w:val="21"/>
              </w:rPr>
            </w:pPr>
            <w:r>
              <w:rPr>
                <w:rFonts w:hint="eastAsia" w:ascii="宋体" w:hAnsi="宋体" w:cs="宋体"/>
                <w:color w:val="000000"/>
                <w:szCs w:val="21"/>
              </w:rPr>
              <w:t>在项目的建设过程中以及交付使用后，会产生大量文档和程序，如：需求分析说明、设计说明、可执行程序以及软件定制开发部分的源代码、用户手册、测试用例、测试结果等技术性文档以及合同、计划、会议记录、报告等管理文档。</w:t>
            </w:r>
          </w:p>
          <w:p w14:paraId="23A95FAD">
            <w:pPr>
              <w:spacing w:line="360" w:lineRule="auto"/>
              <w:rPr>
                <w:rFonts w:hint="eastAsia" w:ascii="宋体" w:hAnsi="宋体" w:cs="宋体"/>
                <w:color w:val="000000"/>
                <w:szCs w:val="21"/>
              </w:rPr>
            </w:pPr>
            <w:r>
              <w:rPr>
                <w:rFonts w:hint="eastAsia" w:ascii="宋体" w:hAnsi="宋体" w:cs="宋体"/>
                <w:color w:val="000000"/>
                <w:szCs w:val="21"/>
              </w:rPr>
              <w:t>由于文档的版本在不断变迁和修改中，势必产生一个庞大、动态的信息集合。因此，必须建设相应的配置管理系统，通过一系列技术、方法和手段来维护产品的历史、鉴别和定位产品独有的版本，以对在产品开发和发布阶段的软件变化进行控制，通过制定规范的配置管理工作计划和流程，沟通交流配置管理工作情况，从而使管理制度化、有效减少重复性工作、保证产品的质量和效率和系统的后续升级和维护。</w:t>
            </w:r>
          </w:p>
          <w:p w14:paraId="23A95FAE">
            <w:pPr>
              <w:spacing w:line="360" w:lineRule="auto"/>
              <w:rPr>
                <w:rFonts w:hint="eastAsia" w:ascii="宋体" w:hAnsi="宋体" w:cs="宋体"/>
                <w:color w:val="000000"/>
                <w:szCs w:val="21"/>
              </w:rPr>
            </w:pPr>
            <w:r>
              <w:rPr>
                <w:rFonts w:hint="eastAsia" w:ascii="宋体" w:hAnsi="宋体" w:cs="宋体"/>
                <w:color w:val="000000"/>
                <w:szCs w:val="21"/>
              </w:rPr>
              <w:t>（5）项目管理规范和手段</w:t>
            </w:r>
          </w:p>
          <w:p w14:paraId="23A95FAF">
            <w:pPr>
              <w:spacing w:line="360" w:lineRule="auto"/>
              <w:rPr>
                <w:rFonts w:hint="eastAsia" w:ascii="宋体" w:hAnsi="宋体" w:cs="宋体"/>
                <w:color w:val="000000"/>
                <w:szCs w:val="21"/>
              </w:rPr>
            </w:pPr>
            <w:r>
              <w:rPr>
                <w:rFonts w:hint="eastAsia" w:ascii="宋体" w:hAnsi="宋体" w:cs="宋体"/>
                <w:color w:val="000000"/>
                <w:szCs w:val="21"/>
              </w:rPr>
              <w:t>根据项目的实施方案，在实施过程中，为了保证用户方、开发方等各方能够对项目建设实施进行监控，及时发现和解决的问题，必须建立相应的项目管理规范，包括项目执行监控流程、执行监控的方法、执行监控的责任等，使管理和监控工作流程化、规范化，管理和监控工作责任明确。</w:t>
            </w:r>
          </w:p>
          <w:p w14:paraId="23A95FB0">
            <w:pPr>
              <w:spacing w:line="360" w:lineRule="auto"/>
              <w:rPr>
                <w:rFonts w:hint="eastAsia" w:ascii="宋体" w:hAnsi="宋体" w:cs="宋体"/>
                <w:color w:val="000000"/>
                <w:szCs w:val="21"/>
              </w:rPr>
            </w:pPr>
            <w:r>
              <w:rPr>
                <w:rFonts w:hint="eastAsia" w:ascii="宋体" w:hAnsi="宋体" w:cs="宋体"/>
                <w:color w:val="000000"/>
                <w:szCs w:val="21"/>
              </w:rPr>
              <w:t>（6）项目管理控制</w:t>
            </w:r>
          </w:p>
          <w:p w14:paraId="23A95FB1">
            <w:pPr>
              <w:spacing w:line="360" w:lineRule="auto"/>
              <w:rPr>
                <w:rFonts w:hint="eastAsia" w:ascii="宋体" w:hAnsi="宋体" w:cs="宋体"/>
                <w:color w:val="000000"/>
                <w:szCs w:val="21"/>
              </w:rPr>
            </w:pPr>
            <w:r>
              <w:rPr>
                <w:rFonts w:hint="eastAsia" w:ascii="宋体" w:hAnsi="宋体" w:cs="宋体"/>
                <w:color w:val="000000"/>
                <w:szCs w:val="21"/>
              </w:rPr>
              <w:t>项目的管理控制包含多个方面：项目范围、风险、进度、质量、变更管理控制，应贯穿项目开发建设的始终，必须做到对项目建设范围准确定义，一旦范围发生变更，要有相应的变更控制和应对措施。</w:t>
            </w:r>
          </w:p>
          <w:p w14:paraId="23A95FB2">
            <w:pPr>
              <w:spacing w:line="360" w:lineRule="auto"/>
              <w:rPr>
                <w:rFonts w:hint="eastAsia" w:ascii="宋体" w:hAnsi="宋体" w:cs="宋体"/>
                <w:color w:val="000000"/>
                <w:szCs w:val="21"/>
              </w:rPr>
            </w:pPr>
            <w:r>
              <w:rPr>
                <w:rFonts w:hint="eastAsia" w:ascii="宋体" w:hAnsi="宋体" w:cs="宋体"/>
                <w:color w:val="000000"/>
                <w:szCs w:val="21"/>
              </w:rPr>
              <w:t>（7）风险管理</w:t>
            </w:r>
          </w:p>
          <w:p w14:paraId="23A95FB3">
            <w:pPr>
              <w:spacing w:line="360" w:lineRule="auto"/>
              <w:rPr>
                <w:rFonts w:hint="eastAsia" w:ascii="宋体" w:hAnsi="宋体" w:cs="宋体"/>
                <w:color w:val="000000"/>
                <w:szCs w:val="21"/>
              </w:rPr>
            </w:pPr>
            <w:r>
              <w:rPr>
                <w:rFonts w:hint="eastAsia" w:ascii="宋体" w:hAnsi="宋体" w:cs="宋体"/>
                <w:color w:val="000000"/>
                <w:szCs w:val="21"/>
              </w:rPr>
              <w:t>项目风险管理是识别和分析项目风险及采取应对措施的一个过程，包括风险识别、风险量化、风险对策、风险对策实施控制四个方面。项目在实施过程中会有各种各样的风险，必须做到充分、有效识别风险，应对风险和控制风险，在项目实施之初必须制定风险预测和规避风险的对策。</w:t>
            </w:r>
          </w:p>
          <w:p w14:paraId="23A95FB4">
            <w:pPr>
              <w:spacing w:line="360" w:lineRule="auto"/>
              <w:rPr>
                <w:rFonts w:hint="eastAsia" w:ascii="宋体" w:hAnsi="宋体" w:cs="宋体"/>
                <w:color w:val="000000"/>
                <w:szCs w:val="21"/>
              </w:rPr>
            </w:pPr>
            <w:r>
              <w:rPr>
                <w:rFonts w:hint="eastAsia" w:ascii="宋体" w:hAnsi="宋体" w:cs="宋体"/>
                <w:color w:val="000000"/>
                <w:szCs w:val="21"/>
              </w:rPr>
              <w:t>7.培训要求</w:t>
            </w:r>
          </w:p>
          <w:p w14:paraId="23A95FB5">
            <w:pPr>
              <w:spacing w:line="360" w:lineRule="auto"/>
              <w:rPr>
                <w:rFonts w:hint="eastAsia" w:ascii="宋体" w:hAnsi="宋体" w:cs="宋体"/>
                <w:color w:val="000000"/>
                <w:szCs w:val="21"/>
              </w:rPr>
            </w:pPr>
            <w:r>
              <w:rPr>
                <w:rFonts w:hint="eastAsia" w:ascii="宋体" w:hAnsi="宋体" w:cs="宋体"/>
                <w:color w:val="000000"/>
                <w:szCs w:val="21"/>
              </w:rPr>
              <w:t>(1)</w:t>
            </w:r>
            <w:r>
              <w:rPr>
                <w:rFonts w:hint="eastAsia" w:ascii="宋体" w:hAnsi="宋体" w:cs="宋体"/>
                <w:color w:val="000000"/>
                <w:szCs w:val="21"/>
              </w:rPr>
              <w:tab/>
            </w:r>
            <w:r>
              <w:rPr>
                <w:rFonts w:hint="eastAsia" w:ascii="宋体" w:hAnsi="宋体" w:cs="宋体"/>
                <w:color w:val="000000"/>
                <w:szCs w:val="21"/>
              </w:rPr>
              <w:t>在项目合同中将具体规定培训内容、培训时间和培训名额等。</w:t>
            </w:r>
          </w:p>
          <w:p w14:paraId="23A95FB6">
            <w:pPr>
              <w:spacing w:line="360" w:lineRule="auto"/>
              <w:rPr>
                <w:rFonts w:hint="eastAsia" w:ascii="宋体" w:hAnsi="宋体" w:cs="宋体"/>
                <w:color w:val="000000"/>
                <w:szCs w:val="21"/>
              </w:rPr>
            </w:pPr>
            <w:r>
              <w:rPr>
                <w:rFonts w:hint="eastAsia" w:ascii="宋体" w:hAnsi="宋体" w:cs="宋体"/>
                <w:color w:val="000000"/>
                <w:szCs w:val="21"/>
              </w:rPr>
              <w:t>(2)</w:t>
            </w:r>
            <w:r>
              <w:rPr>
                <w:rFonts w:hint="eastAsia" w:ascii="宋体" w:hAnsi="宋体" w:cs="宋体"/>
                <w:color w:val="000000"/>
                <w:szCs w:val="21"/>
              </w:rPr>
              <w:tab/>
            </w:r>
            <w:r>
              <w:rPr>
                <w:rFonts w:hint="eastAsia" w:ascii="宋体" w:hAnsi="宋体" w:cs="宋体"/>
                <w:color w:val="000000"/>
                <w:szCs w:val="21"/>
              </w:rPr>
              <w:t>投标人派出的培训教员应具有丰富的同类课程的教学经验和应用经验；所有的培训教员必须用中文授课；投标人必须为所有被培训人员提供文字资料和讲义等相关培训材料。</w:t>
            </w:r>
          </w:p>
          <w:p w14:paraId="23A95FB7">
            <w:pPr>
              <w:spacing w:line="360" w:lineRule="auto"/>
              <w:rPr>
                <w:rFonts w:hint="eastAsia" w:ascii="宋体" w:hAnsi="宋体" w:cs="宋体"/>
                <w:color w:val="000000"/>
                <w:szCs w:val="21"/>
              </w:rPr>
            </w:pPr>
            <w:r>
              <w:rPr>
                <w:rFonts w:hint="eastAsia" w:ascii="宋体" w:hAnsi="宋体" w:cs="宋体"/>
                <w:color w:val="000000"/>
                <w:szCs w:val="21"/>
              </w:rPr>
              <w:t>(3)</w:t>
            </w:r>
            <w:r>
              <w:rPr>
                <w:rFonts w:hint="eastAsia" w:ascii="宋体" w:hAnsi="宋体" w:cs="宋体"/>
                <w:color w:val="000000"/>
                <w:szCs w:val="21"/>
              </w:rPr>
              <w:tab/>
            </w:r>
            <w:r>
              <w:rPr>
                <w:rFonts w:hint="eastAsia" w:ascii="宋体" w:hAnsi="宋体" w:cs="宋体"/>
                <w:color w:val="000000"/>
                <w:szCs w:val="21"/>
              </w:rPr>
              <w:t>投标人应按合同规定安排培训时间和培训名额，在实施过程中，针对系统管理人员提供培训，保证培训效果，让系统管理人员都能熟练掌握系统的使用方法。</w:t>
            </w:r>
          </w:p>
          <w:p w14:paraId="23A95FB8">
            <w:pPr>
              <w:spacing w:line="360" w:lineRule="auto"/>
              <w:rPr>
                <w:rFonts w:hint="eastAsia" w:ascii="宋体" w:hAnsi="宋体" w:cs="宋体"/>
                <w:color w:val="000000"/>
                <w:szCs w:val="21"/>
              </w:rPr>
            </w:pPr>
            <w:r>
              <w:rPr>
                <w:rFonts w:hint="eastAsia" w:ascii="宋体" w:hAnsi="宋体" w:cs="宋体"/>
                <w:color w:val="000000"/>
                <w:szCs w:val="21"/>
              </w:rPr>
              <w:t>8.验收交付要求</w:t>
            </w:r>
          </w:p>
          <w:p w14:paraId="23A95FB9">
            <w:pPr>
              <w:spacing w:line="360" w:lineRule="auto"/>
              <w:rPr>
                <w:rFonts w:hint="eastAsia" w:ascii="宋体" w:hAnsi="宋体" w:cs="宋体"/>
                <w:color w:val="000000"/>
                <w:szCs w:val="21"/>
              </w:rPr>
            </w:pPr>
            <w:r>
              <w:rPr>
                <w:rFonts w:hint="eastAsia" w:ascii="宋体" w:hAnsi="宋体" w:cs="宋体"/>
                <w:color w:val="000000"/>
                <w:szCs w:val="21"/>
              </w:rPr>
              <w:t>在本期项目的开发过程中和交付使用后，要求将各个阶段产生的全面、规范的成果和文档资料交付给采购方，而且需要提供明确的交付清单。同时，成果和文档资料必须符合软件工程的相关要求。要交付的成果和文档资料需要包括以下部分：</w:t>
            </w:r>
          </w:p>
          <w:p w14:paraId="23A95FBA">
            <w:pPr>
              <w:spacing w:line="360" w:lineRule="auto"/>
              <w:rPr>
                <w:rFonts w:hint="eastAsia" w:ascii="宋体" w:hAnsi="宋体" w:cs="宋体"/>
                <w:color w:val="000000"/>
                <w:szCs w:val="21"/>
              </w:rPr>
            </w:pPr>
            <w:r>
              <w:rPr>
                <w:rFonts w:hint="eastAsia" w:ascii="宋体" w:hAnsi="宋体" w:cs="宋体"/>
                <w:color w:val="000000"/>
                <w:szCs w:val="21"/>
              </w:rPr>
              <w:t>8.1可运行的系统</w:t>
            </w:r>
          </w:p>
          <w:p w14:paraId="23A95FBB">
            <w:pPr>
              <w:spacing w:line="360" w:lineRule="auto"/>
              <w:rPr>
                <w:rFonts w:hint="eastAsia" w:ascii="宋体" w:hAnsi="宋体" w:cs="宋体"/>
                <w:color w:val="000000"/>
                <w:szCs w:val="21"/>
              </w:rPr>
            </w:pPr>
            <w:r>
              <w:rPr>
                <w:rFonts w:hint="eastAsia" w:ascii="宋体" w:hAnsi="宋体" w:cs="宋体"/>
                <w:color w:val="000000"/>
                <w:szCs w:val="21"/>
              </w:rPr>
              <w:t>2、技术文档</w:t>
            </w:r>
          </w:p>
          <w:p w14:paraId="23A95FBC">
            <w:pPr>
              <w:spacing w:line="360" w:lineRule="auto"/>
              <w:rPr>
                <w:rFonts w:hint="eastAsia" w:ascii="宋体" w:hAnsi="宋体" w:cs="宋体"/>
                <w:color w:val="000000"/>
                <w:szCs w:val="21"/>
              </w:rPr>
            </w:pPr>
            <w:r>
              <w:rPr>
                <w:rFonts w:hint="eastAsia" w:ascii="宋体" w:hAnsi="宋体" w:cs="宋体"/>
                <w:color w:val="000000"/>
                <w:szCs w:val="21"/>
              </w:rPr>
              <w:t>包括项目开发中的各种技术文档，如开发环境配置说明、软件工具清单、需求分析说明、变更说明、系统设计说明、用户手册、测试用例、测试结果、系统维护说明、系统培训资料以及有关系统接口的技术说明等。</w:t>
            </w:r>
          </w:p>
          <w:p w14:paraId="23A95FBD">
            <w:pPr>
              <w:spacing w:line="360" w:lineRule="auto"/>
              <w:rPr>
                <w:rFonts w:hint="eastAsia" w:ascii="宋体" w:hAnsi="宋体" w:cs="宋体"/>
                <w:color w:val="000000"/>
                <w:szCs w:val="21"/>
              </w:rPr>
            </w:pPr>
            <w:r>
              <w:rPr>
                <w:rFonts w:hint="eastAsia" w:ascii="宋体" w:hAnsi="宋体" w:cs="宋体"/>
                <w:color w:val="000000"/>
                <w:szCs w:val="21"/>
              </w:rPr>
              <w:t>8.2管理文档</w:t>
            </w:r>
          </w:p>
          <w:p w14:paraId="23A95FBE">
            <w:pPr>
              <w:spacing w:line="360" w:lineRule="auto"/>
              <w:rPr>
                <w:rFonts w:hint="eastAsia" w:ascii="宋体" w:hAnsi="宋体" w:cs="宋体"/>
                <w:color w:val="000000"/>
                <w:szCs w:val="21"/>
              </w:rPr>
            </w:pPr>
            <w:r>
              <w:rPr>
                <w:rFonts w:hint="eastAsia" w:ascii="宋体" w:hAnsi="宋体" w:cs="宋体"/>
                <w:color w:val="000000"/>
                <w:szCs w:val="21"/>
              </w:rPr>
              <w:t>包括项目开发中的一些工作文档，如，计划、报告、讨论纲要、会议记录等。</w:t>
            </w:r>
          </w:p>
          <w:p w14:paraId="5569E444">
            <w:pPr>
              <w:spacing w:line="360" w:lineRule="auto"/>
              <w:rPr>
                <w:rFonts w:hint="eastAsia" w:ascii="宋体" w:hAnsi="宋体" w:cs="宋体"/>
                <w:color w:val="000000"/>
                <w:szCs w:val="21"/>
              </w:rPr>
            </w:pPr>
            <w:r>
              <w:rPr>
                <w:rFonts w:hint="eastAsia" w:ascii="宋体" w:hAnsi="宋体" w:cs="宋体"/>
                <w:color w:val="000000"/>
                <w:szCs w:val="21"/>
              </w:rPr>
              <w:t>8.3保密要求</w:t>
            </w:r>
          </w:p>
          <w:p w14:paraId="5A66F492">
            <w:pPr>
              <w:spacing w:line="360" w:lineRule="auto"/>
              <w:rPr>
                <w:rFonts w:hint="eastAsia" w:ascii="宋体" w:hAnsi="宋体" w:cs="宋体"/>
                <w:color w:val="000000"/>
                <w:szCs w:val="21"/>
              </w:rPr>
            </w:pPr>
            <w:r>
              <w:rPr>
                <w:rFonts w:hint="eastAsia" w:ascii="宋体" w:hAnsi="宋体" w:cs="宋体"/>
                <w:color w:val="000000"/>
                <w:szCs w:val="21"/>
              </w:rPr>
              <w:t>确定中标方后，乙方须与用户单位签订保密协议。必须对项目技术文件及由用户单位提供的所有内部资料、技术文档、数据和信息、系统界面等予以保密。</w:t>
            </w:r>
          </w:p>
          <w:p w14:paraId="3AC16626">
            <w:pPr>
              <w:spacing w:line="360" w:lineRule="auto"/>
              <w:rPr>
                <w:rFonts w:hint="eastAsia" w:ascii="宋体" w:hAnsi="宋体" w:cs="宋体"/>
                <w:color w:val="000000"/>
                <w:szCs w:val="21"/>
              </w:rPr>
            </w:pPr>
            <w:r>
              <w:rPr>
                <w:rFonts w:hint="eastAsia" w:ascii="宋体" w:hAnsi="宋体" w:cs="宋体"/>
                <w:color w:val="000000"/>
                <w:szCs w:val="21"/>
              </w:rPr>
              <w:t>8.4知识产权要求</w:t>
            </w:r>
          </w:p>
          <w:p w14:paraId="0004FEA7">
            <w:pPr>
              <w:spacing w:line="360" w:lineRule="auto"/>
              <w:rPr>
                <w:rFonts w:hint="eastAsia" w:ascii="宋体" w:hAnsi="宋体" w:cs="宋体"/>
                <w:color w:val="000000"/>
                <w:szCs w:val="21"/>
              </w:rPr>
            </w:pPr>
            <w:r>
              <w:rPr>
                <w:rFonts w:hint="eastAsia" w:ascii="宋体" w:hAnsi="宋体" w:cs="宋体"/>
                <w:color w:val="000000"/>
                <w:szCs w:val="21"/>
              </w:rPr>
              <w:t>因本项目产生的技术成果和知识产权归学校所有，学校拥有此系统的永久使用权。</w:t>
            </w:r>
          </w:p>
          <w:p w14:paraId="23A95FBF">
            <w:pPr>
              <w:spacing w:line="360" w:lineRule="auto"/>
              <w:rPr>
                <w:rFonts w:hint="eastAsia" w:ascii="宋体" w:hAnsi="宋体" w:cs="宋体"/>
                <w:color w:val="000000"/>
                <w:szCs w:val="21"/>
              </w:rPr>
            </w:pPr>
            <w:r>
              <w:rPr>
                <w:rFonts w:hint="eastAsia" w:ascii="宋体" w:hAnsi="宋体" w:cs="宋体"/>
                <w:color w:val="000000"/>
                <w:szCs w:val="21"/>
              </w:rPr>
              <w:t>9售后服务要求</w:t>
            </w:r>
          </w:p>
          <w:p w14:paraId="23A95FC0">
            <w:pPr>
              <w:spacing w:line="360" w:lineRule="auto"/>
              <w:rPr>
                <w:rFonts w:hint="eastAsia" w:ascii="宋体" w:hAnsi="宋体" w:cs="宋体"/>
                <w:color w:val="000000"/>
                <w:szCs w:val="21"/>
              </w:rPr>
            </w:pPr>
            <w:r>
              <w:rPr>
                <w:rFonts w:hint="eastAsia" w:ascii="宋体" w:hAnsi="宋体" w:cs="宋体"/>
                <w:color w:val="000000"/>
                <w:szCs w:val="21"/>
              </w:rPr>
              <w:t>9.1.投标人应具备完整的售后服务保障能力，售后服务期1年，包含（但不限于）以下服务要求：</w:t>
            </w:r>
          </w:p>
          <w:p w14:paraId="23A95FC1">
            <w:pPr>
              <w:spacing w:line="360" w:lineRule="auto"/>
              <w:rPr>
                <w:rFonts w:hint="eastAsia" w:ascii="宋体" w:hAnsi="宋体" w:cs="宋体"/>
                <w:color w:val="000000"/>
                <w:szCs w:val="21"/>
              </w:rPr>
            </w:pPr>
            <w:r>
              <w:rPr>
                <w:rFonts w:hint="eastAsia" w:ascii="宋体" w:hAnsi="宋体" w:cs="宋体"/>
                <w:color w:val="000000"/>
                <w:szCs w:val="21"/>
              </w:rPr>
              <w:t>（1）须明确说明服务期限，满足招标文件要求；</w:t>
            </w:r>
          </w:p>
          <w:p w14:paraId="23A95FC2">
            <w:pPr>
              <w:spacing w:line="360" w:lineRule="auto"/>
              <w:rPr>
                <w:rFonts w:hint="eastAsia" w:ascii="宋体" w:hAnsi="宋体" w:cs="宋体"/>
                <w:color w:val="000000"/>
                <w:szCs w:val="21"/>
              </w:rPr>
            </w:pPr>
            <w:r>
              <w:rPr>
                <w:rFonts w:hint="eastAsia" w:ascii="宋体" w:hAnsi="宋体" w:cs="宋体"/>
                <w:color w:val="000000"/>
                <w:szCs w:val="21"/>
              </w:rPr>
              <w:t>（2）须明确服务响应级别，并出具详细的方案和事件升级策略；</w:t>
            </w:r>
          </w:p>
          <w:p w14:paraId="23A95FC3">
            <w:pPr>
              <w:spacing w:line="360" w:lineRule="auto"/>
              <w:rPr>
                <w:rFonts w:hint="eastAsia" w:ascii="宋体" w:hAnsi="宋体" w:cs="宋体"/>
                <w:color w:val="000000"/>
                <w:szCs w:val="21"/>
              </w:rPr>
            </w:pPr>
            <w:r>
              <w:rPr>
                <w:rFonts w:hint="eastAsia" w:ascii="宋体" w:hAnsi="宋体" w:cs="宋体"/>
                <w:color w:val="000000"/>
                <w:szCs w:val="21"/>
              </w:rPr>
              <w:t>（3）须提供多种服务受理通道，包括但不限于线上、电话、邮件等；</w:t>
            </w:r>
          </w:p>
          <w:p w14:paraId="23A95FC4">
            <w:pPr>
              <w:spacing w:line="360" w:lineRule="auto"/>
              <w:rPr>
                <w:rFonts w:hint="eastAsia" w:ascii="宋体" w:hAnsi="宋体" w:cs="宋体"/>
                <w:color w:val="000000"/>
                <w:szCs w:val="21"/>
              </w:rPr>
            </w:pPr>
            <w:r>
              <w:rPr>
                <w:rFonts w:hint="eastAsia" w:ascii="宋体" w:hAnsi="宋体" w:cs="宋体"/>
                <w:color w:val="000000"/>
                <w:szCs w:val="21"/>
              </w:rPr>
              <w:t>（4）须提供详细的线上服务流程说明，线上报修须能够做到问题登记、问题处理、加急处理、问题关闭与评价，常见问题案例库，消息通知等。要求提供服务网站地址及各个模块的功能截图或功能演示。</w:t>
            </w:r>
          </w:p>
          <w:p w14:paraId="23A95FC5">
            <w:pPr>
              <w:spacing w:line="360" w:lineRule="auto"/>
              <w:rPr>
                <w:rFonts w:hint="eastAsia" w:ascii="宋体" w:hAnsi="宋体" w:cs="宋体"/>
                <w:color w:val="000000"/>
                <w:szCs w:val="21"/>
              </w:rPr>
            </w:pPr>
            <w:r>
              <w:rPr>
                <w:rFonts w:hint="eastAsia" w:ascii="宋体" w:hAnsi="宋体" w:cs="宋体"/>
                <w:color w:val="000000"/>
                <w:szCs w:val="21"/>
              </w:rPr>
              <w:t>（5）要求在服务响应过程中，须有运营专员参与，全程跟踪服务过程，协调解决服务过程中的问题，须在方案中说明运营保障内容，提供详细服务方案。</w:t>
            </w:r>
          </w:p>
          <w:p w14:paraId="23A95FC6">
            <w:pPr>
              <w:spacing w:line="360" w:lineRule="auto"/>
              <w:rPr>
                <w:rFonts w:hint="eastAsia" w:ascii="宋体" w:hAnsi="宋体" w:cs="宋体"/>
                <w:color w:val="000000"/>
                <w:szCs w:val="21"/>
              </w:rPr>
            </w:pPr>
            <w:r>
              <w:rPr>
                <w:rFonts w:hint="eastAsia" w:ascii="宋体" w:hAnsi="宋体" w:cs="宋体"/>
                <w:color w:val="000000"/>
                <w:szCs w:val="21"/>
              </w:rPr>
              <w:t>（6）须提供线上服务申诉通道，要求可针对服务人员、服务流程等进行投诉。须提供投诉的功能截图或演示材料。</w:t>
            </w:r>
          </w:p>
          <w:p w14:paraId="23A95FC7">
            <w:pPr>
              <w:spacing w:line="360" w:lineRule="auto"/>
              <w:rPr>
                <w:rFonts w:hint="eastAsia" w:ascii="宋体" w:hAnsi="宋体" w:cs="宋体"/>
                <w:color w:val="000000"/>
                <w:szCs w:val="21"/>
              </w:rPr>
            </w:pPr>
            <w:r>
              <w:rPr>
                <w:rFonts w:hint="eastAsia" w:ascii="宋体" w:hAnsi="宋体" w:cs="宋体"/>
                <w:color w:val="000000"/>
                <w:szCs w:val="21"/>
              </w:rPr>
              <w:t>（7）须提供本项目服务团队组织说明，包含项目成员和职责。</w:t>
            </w:r>
          </w:p>
          <w:p w14:paraId="23A95FC8">
            <w:pPr>
              <w:spacing w:line="360" w:lineRule="auto"/>
              <w:rPr>
                <w:rFonts w:hint="eastAsia" w:ascii="宋体" w:hAnsi="宋体" w:cs="宋体"/>
                <w:color w:val="000000"/>
                <w:szCs w:val="21"/>
              </w:rPr>
            </w:pPr>
            <w:r>
              <w:rPr>
                <w:rFonts w:hint="eastAsia" w:ascii="宋体" w:hAnsi="宋体" w:cs="宋体"/>
                <w:color w:val="000000"/>
                <w:szCs w:val="21"/>
              </w:rPr>
              <w:t>9.2.投标人应提供本次投标产品的售后服务，包含（但不限于）以下服务要求：</w:t>
            </w:r>
          </w:p>
          <w:p w14:paraId="23A95FC9">
            <w:pPr>
              <w:spacing w:line="360" w:lineRule="auto"/>
              <w:rPr>
                <w:rFonts w:hint="eastAsia" w:ascii="宋体" w:hAnsi="宋体" w:cs="宋体"/>
                <w:color w:val="000000"/>
                <w:szCs w:val="21"/>
              </w:rPr>
            </w:pPr>
            <w:r>
              <w:rPr>
                <w:rFonts w:hint="eastAsia" w:ascii="宋体" w:hAnsi="宋体" w:cs="宋体"/>
                <w:color w:val="000000"/>
                <w:szCs w:val="21"/>
              </w:rPr>
              <w:t>（1）BUG处理：如投标人交付的业务系统存在BUG，投标人须提供修正与消缺服务，如有修复BUG的补丁，应提供升级服务。</w:t>
            </w:r>
          </w:p>
          <w:p w14:paraId="23A95FCA">
            <w:pPr>
              <w:spacing w:line="360" w:lineRule="auto"/>
              <w:rPr>
                <w:rFonts w:hint="eastAsia" w:ascii="宋体" w:hAnsi="宋体" w:cs="宋体"/>
                <w:color w:val="000000"/>
                <w:szCs w:val="21"/>
              </w:rPr>
            </w:pPr>
            <w:r>
              <w:rPr>
                <w:rFonts w:hint="eastAsia" w:ascii="宋体" w:hAnsi="宋体" w:cs="宋体"/>
                <w:color w:val="000000"/>
                <w:szCs w:val="21"/>
              </w:rPr>
              <w:t>（2）故障处理：如投标人交付的系统上线运行时，出现问题导致业务中断时，投标方应对故障进行限时处理。</w:t>
            </w:r>
          </w:p>
          <w:p w14:paraId="23A95FCB">
            <w:pPr>
              <w:spacing w:line="360" w:lineRule="auto"/>
              <w:rPr>
                <w:rFonts w:hint="eastAsia" w:ascii="宋体" w:hAnsi="宋体" w:cs="宋体"/>
                <w:color w:val="000000"/>
                <w:szCs w:val="21"/>
              </w:rPr>
            </w:pPr>
            <w:r>
              <w:rPr>
                <w:rFonts w:hint="eastAsia" w:ascii="宋体" w:hAnsi="宋体" w:cs="宋体"/>
                <w:color w:val="000000"/>
                <w:szCs w:val="21"/>
              </w:rPr>
              <w:t>由于非计划掉电导致系统故障时，投标方应配合系统恢复。</w:t>
            </w:r>
          </w:p>
          <w:p w14:paraId="23A95FCC">
            <w:pPr>
              <w:spacing w:line="360" w:lineRule="auto"/>
              <w:rPr>
                <w:rFonts w:hint="eastAsia" w:ascii="宋体" w:hAnsi="宋体" w:cs="宋体"/>
                <w:color w:val="000000"/>
                <w:szCs w:val="21"/>
              </w:rPr>
            </w:pPr>
            <w:r>
              <w:rPr>
                <w:rFonts w:hint="eastAsia" w:ascii="宋体" w:hAnsi="宋体" w:cs="宋体"/>
                <w:color w:val="000000"/>
                <w:szCs w:val="21"/>
              </w:rPr>
              <w:t>由于系统资源不足导致系统故障时，投标方应配合学校系统恢复。</w:t>
            </w:r>
          </w:p>
          <w:p w14:paraId="23A95FCD">
            <w:pPr>
              <w:spacing w:line="360" w:lineRule="auto"/>
              <w:rPr>
                <w:rFonts w:hint="eastAsia" w:ascii="宋体" w:hAnsi="宋体" w:cs="宋体"/>
                <w:color w:val="000000"/>
                <w:szCs w:val="21"/>
              </w:rPr>
            </w:pPr>
            <w:r>
              <w:rPr>
                <w:rFonts w:hint="eastAsia" w:ascii="宋体" w:hAnsi="宋体" w:cs="宋体"/>
                <w:color w:val="000000"/>
                <w:szCs w:val="21"/>
              </w:rPr>
              <w:t>由于硬件故障时，投标方应在学校数据还原后，配合学校系统恢复。</w:t>
            </w:r>
          </w:p>
          <w:p w14:paraId="23A95FCE">
            <w:pPr>
              <w:spacing w:line="360" w:lineRule="auto"/>
              <w:rPr>
                <w:rFonts w:hint="eastAsia" w:ascii="宋体" w:hAnsi="宋体" w:cs="宋体"/>
                <w:color w:val="000000"/>
                <w:szCs w:val="21"/>
              </w:rPr>
            </w:pPr>
            <w:r>
              <w:rPr>
                <w:rFonts w:hint="eastAsia" w:ascii="宋体" w:hAnsi="宋体" w:cs="宋体"/>
                <w:color w:val="000000"/>
                <w:szCs w:val="21"/>
              </w:rPr>
              <w:t>（3）运行支持：投标方应对系统运行过程中系统管理员及业务管理员提出的问题提供解答和问题解决跟踪。</w:t>
            </w:r>
          </w:p>
          <w:p w14:paraId="23A95FCF">
            <w:pPr>
              <w:spacing w:line="360" w:lineRule="auto"/>
              <w:rPr>
                <w:rFonts w:hint="eastAsia" w:ascii="宋体" w:hAnsi="宋体" w:cs="宋体"/>
                <w:color w:val="000000"/>
                <w:szCs w:val="21"/>
              </w:rPr>
            </w:pPr>
            <w:r>
              <w:rPr>
                <w:rFonts w:hint="eastAsia" w:ascii="宋体" w:hAnsi="宋体" w:cs="宋体"/>
                <w:color w:val="000000"/>
                <w:szCs w:val="21"/>
              </w:rPr>
              <w:t>（4）在项目质保期内，因为软件系统本身原因导致系统不可用，投标方应全程跟踪解决，确保问题快速解决，因为操作系统、服务器、网络设备及其他硬件设备导致系统不可用时，投标人应配合招标人排查故障，提供解决方法供招标人选择，配合招标人解决问题。</w:t>
            </w:r>
          </w:p>
        </w:tc>
        <w:tc>
          <w:tcPr>
            <w:tcW w:w="840" w:type="dxa"/>
          </w:tcPr>
          <w:p w14:paraId="23A95FD0">
            <w:pPr>
              <w:spacing w:line="360" w:lineRule="auto"/>
              <w:rPr>
                <w:rFonts w:hint="eastAsia" w:ascii="宋体" w:hAnsi="宋体" w:cs="宋体"/>
                <w:color w:val="000000"/>
                <w:szCs w:val="21"/>
              </w:rPr>
            </w:pPr>
          </w:p>
        </w:tc>
        <w:tc>
          <w:tcPr>
            <w:tcW w:w="900" w:type="dxa"/>
          </w:tcPr>
          <w:p w14:paraId="23A95FD1">
            <w:pPr>
              <w:spacing w:line="360" w:lineRule="auto"/>
              <w:rPr>
                <w:rFonts w:hint="eastAsia" w:ascii="宋体" w:hAnsi="宋体" w:cs="宋体"/>
                <w:color w:val="000000"/>
                <w:szCs w:val="21"/>
              </w:rPr>
            </w:pPr>
          </w:p>
        </w:tc>
        <w:tc>
          <w:tcPr>
            <w:tcW w:w="750" w:type="dxa"/>
          </w:tcPr>
          <w:p w14:paraId="23A95FD2">
            <w:pPr>
              <w:spacing w:line="360" w:lineRule="auto"/>
              <w:rPr>
                <w:rFonts w:hint="eastAsia" w:ascii="宋体" w:hAnsi="宋体" w:cs="宋体"/>
                <w:color w:val="000000"/>
                <w:szCs w:val="21"/>
              </w:rPr>
            </w:pPr>
          </w:p>
        </w:tc>
      </w:tr>
    </w:tbl>
    <w:p w14:paraId="23A95FD4">
      <w:pPr>
        <w:adjustRightInd w:val="0"/>
        <w:snapToGrid w:val="0"/>
        <w:ind w:firstLine="210" w:firstLineChars="100"/>
        <w:rPr>
          <w:rFonts w:hint="eastAsia" w:ascii="宋体" w:hAnsi="宋体"/>
          <w:szCs w:val="21"/>
        </w:rPr>
      </w:pPr>
    </w:p>
    <w:p w14:paraId="23A95FD5">
      <w:pPr>
        <w:spacing w:line="360" w:lineRule="auto"/>
        <w:ind w:firstLine="560" w:firstLineChars="200"/>
        <w:rPr>
          <w:rFonts w:hint="eastAsia" w:ascii="仿宋" w:hAnsi="仿宋" w:eastAsia="仿宋" w:cs="仿宋"/>
          <w:color w:val="222222"/>
          <w:kern w:val="0"/>
          <w:sz w:val="28"/>
          <w:szCs w:val="28"/>
          <w:lang w:bidi="ar"/>
        </w:rPr>
      </w:pPr>
      <w:r>
        <w:rPr>
          <w:rFonts w:hint="eastAsia" w:ascii="仿宋" w:hAnsi="仿宋" w:eastAsia="仿宋" w:cs="仿宋"/>
          <w:color w:val="222222"/>
          <w:kern w:val="0"/>
          <w:sz w:val="28"/>
          <w:szCs w:val="28"/>
          <w:lang w:bidi="ar"/>
        </w:rPr>
        <w:t>说明：</w:t>
      </w:r>
    </w:p>
    <w:p w14:paraId="23A95FD6">
      <w:pPr>
        <w:spacing w:line="360" w:lineRule="auto"/>
        <w:ind w:firstLine="560" w:firstLineChars="200"/>
        <w:rPr>
          <w:rFonts w:hint="eastAsia" w:ascii="仿宋" w:hAnsi="仿宋" w:eastAsia="仿宋" w:cs="仿宋"/>
          <w:color w:val="222222"/>
          <w:kern w:val="0"/>
          <w:sz w:val="28"/>
          <w:szCs w:val="28"/>
          <w:lang w:bidi="ar"/>
        </w:rPr>
      </w:pPr>
      <w:r>
        <w:rPr>
          <w:rFonts w:hint="eastAsia" w:ascii="仿宋" w:hAnsi="仿宋" w:eastAsia="仿宋" w:cs="仿宋"/>
          <w:color w:val="222222"/>
          <w:kern w:val="0"/>
          <w:sz w:val="28"/>
          <w:szCs w:val="28"/>
          <w:lang w:bidi="ar"/>
        </w:rPr>
        <w:t>1.对“需求一览表”中价值高的核心设备或批量大且品牌竞争充分的设备可要求投标时提供产品授权。</w:t>
      </w:r>
    </w:p>
    <w:p w14:paraId="23A95FD7">
      <w:pPr>
        <w:spacing w:line="360" w:lineRule="auto"/>
        <w:ind w:firstLine="560" w:firstLineChars="200"/>
        <w:rPr>
          <w:rFonts w:hint="eastAsia" w:ascii="仿宋" w:hAnsi="仿宋" w:eastAsia="仿宋" w:cs="仿宋"/>
          <w:color w:val="222222"/>
          <w:kern w:val="0"/>
          <w:sz w:val="28"/>
          <w:szCs w:val="28"/>
          <w:lang w:eastAsia="zh-CN" w:bidi="ar"/>
        </w:rPr>
      </w:pPr>
      <w:r>
        <w:rPr>
          <w:rFonts w:hint="eastAsia" w:ascii="仿宋" w:hAnsi="仿宋" w:eastAsia="仿宋" w:cs="仿宋"/>
          <w:color w:val="222222"/>
          <w:kern w:val="0"/>
          <w:sz w:val="28"/>
          <w:szCs w:val="28"/>
          <w:lang w:bidi="ar"/>
        </w:rPr>
        <w:t>2.质保及服务要求。原则上执行国家标准质保规定，需要购买超过标准质保的服务</w:t>
      </w:r>
      <w:r>
        <w:rPr>
          <w:rFonts w:hint="eastAsia" w:ascii="仿宋" w:hAnsi="仿宋" w:eastAsia="仿宋" w:cs="仿宋"/>
          <w:color w:val="222222"/>
          <w:kern w:val="0"/>
          <w:sz w:val="28"/>
          <w:szCs w:val="28"/>
          <w:lang w:eastAsia="zh-CN" w:bidi="ar"/>
        </w:rPr>
        <w:t>。</w:t>
      </w:r>
    </w:p>
    <w:p w14:paraId="23A95FD8">
      <w:pPr>
        <w:spacing w:line="360" w:lineRule="auto"/>
        <w:ind w:firstLine="560" w:firstLineChars="200"/>
        <w:rPr>
          <w:rFonts w:hint="eastAsia" w:ascii="仿宋" w:hAnsi="仿宋" w:eastAsia="仿宋" w:cs="仿宋"/>
          <w:color w:val="222222"/>
          <w:kern w:val="0"/>
          <w:sz w:val="28"/>
          <w:szCs w:val="28"/>
          <w:lang w:bidi="ar"/>
        </w:rPr>
      </w:pPr>
      <w:r>
        <w:rPr>
          <w:rFonts w:hint="eastAsia" w:ascii="仿宋" w:hAnsi="仿宋" w:eastAsia="仿宋" w:cs="仿宋"/>
          <w:color w:val="222222"/>
          <w:kern w:val="0"/>
          <w:sz w:val="28"/>
          <w:szCs w:val="28"/>
          <w:lang w:bidi="ar"/>
        </w:rPr>
        <w:t>3.须在招标文件中作为购买服务单独列明，要求供应商单独明确报价，并在供货时提供质保服务承诺函。</w:t>
      </w:r>
    </w:p>
    <w:p w14:paraId="0992B3D2">
      <w:pPr>
        <w:rPr>
          <w:rFonts w:hint="eastAsia" w:ascii="黑体" w:hAnsi="黑体" w:eastAsia="黑体" w:cs="黑体"/>
          <w:b/>
          <w:bCs w:val="0"/>
          <w:color w:val="000000"/>
          <w:sz w:val="40"/>
          <w:szCs w:val="40"/>
          <w:lang w:val="en-US" w:eastAsia="zh-CN"/>
        </w:rPr>
      </w:pPr>
    </w:p>
    <w:p w14:paraId="714E11F2">
      <w:pPr>
        <w:ind w:firstLine="5440" w:firstLineChars="1700"/>
        <w:jc w:val="both"/>
        <w:rPr>
          <w:rFonts w:hint="default" w:ascii="仿宋" w:hAnsi="仿宋" w:eastAsia="仿宋" w:cs="仿宋"/>
          <w:b w:val="0"/>
          <w:bCs w:val="0"/>
          <w:sz w:val="32"/>
          <w:szCs w:val="32"/>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9B17F">
    <w:pPr>
      <w:spacing w:before="1" w:line="235" w:lineRule="auto"/>
      <w:ind w:left="121"/>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8"/>
        <w:sz w:val="28"/>
        <w:szCs w:val="28"/>
      </w:rPr>
      <w:t xml:space="preserve"> </w:t>
    </w:r>
    <w:r>
      <w:rPr>
        <w:rFonts w:ascii="宋体" w:hAnsi="宋体" w:eastAsia="宋体" w:cs="宋体"/>
        <w:spacing w:val="-6"/>
        <w:sz w:val="28"/>
        <w:szCs w:val="28"/>
      </w:rPr>
      <w:t>4</w:t>
    </w:r>
    <w:r>
      <w:rPr>
        <w:rFonts w:ascii="宋体" w:hAnsi="宋体" w:eastAsia="宋体" w:cs="宋体"/>
        <w:spacing w:val="9"/>
        <w:sz w:val="28"/>
        <w:szCs w:val="28"/>
      </w:rPr>
      <w:t xml:space="preserve"> </w:t>
    </w:r>
    <w:r>
      <w:rPr>
        <w:rFonts w:ascii="宋体" w:hAnsi="宋体" w:eastAsia="宋体" w:cs="宋体"/>
        <w:spacing w:val="-6"/>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FF40C">
    <w:pPr>
      <w:pStyle w:val="2"/>
      <w:keepNext w:val="0"/>
      <w:keepLines w:val="0"/>
      <w:widowControl/>
      <w:suppressLineNumbers w:val="0"/>
      <w:pBdr>
        <w:top w:val="none" w:color="auto" w:sz="0" w:space="0"/>
        <w:left w:val="none" w:color="auto" w:sz="0" w:space="0"/>
        <w:bottom w:val="single" w:color="ECECEC" w:sz="6" w:space="7"/>
        <w:right w:val="none" w:color="auto" w:sz="0" w:space="0"/>
      </w:pBdr>
      <w:shd w:val="clear" w:fill="FFFFFF"/>
      <w:spacing w:before="0" w:beforeAutospacing="0" w:after="0" w:afterAutospacing="0" w:line="390" w:lineRule="atLeast"/>
      <w:ind w:left="0" w:right="0" w:firstLine="0"/>
      <w:jc w:val="both"/>
      <w:rPr>
        <w:rFonts w:ascii="微软雅黑" w:hAnsi="微软雅黑" w:eastAsia="微软雅黑" w:cs="微软雅黑"/>
        <w:b/>
        <w:bCs/>
        <w:i w:val="0"/>
        <w:iCs w:val="0"/>
        <w:caps w:val="0"/>
        <w:color w:val="8F000B"/>
        <w:spacing w:val="0"/>
        <w:sz w:val="33"/>
        <w:szCs w:val="33"/>
      </w:rPr>
    </w:pPr>
  </w:p>
  <w:p w14:paraId="675F0F88">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NhZmQyNzU1YWY5M2I2NDNhZmQ2ZGFlOTAwNjczYmUifQ=="/>
  </w:docVars>
  <w:rsids>
    <w:rsidRoot w:val="0098586C"/>
    <w:rsid w:val="00437597"/>
    <w:rsid w:val="006E4729"/>
    <w:rsid w:val="007E64FC"/>
    <w:rsid w:val="00804666"/>
    <w:rsid w:val="0098586C"/>
    <w:rsid w:val="012F0438"/>
    <w:rsid w:val="01477581"/>
    <w:rsid w:val="09A0136D"/>
    <w:rsid w:val="0BFC06F7"/>
    <w:rsid w:val="100F08ED"/>
    <w:rsid w:val="110D4DDF"/>
    <w:rsid w:val="117D0518"/>
    <w:rsid w:val="132179FB"/>
    <w:rsid w:val="190912D0"/>
    <w:rsid w:val="1D9349F0"/>
    <w:rsid w:val="217F6677"/>
    <w:rsid w:val="220C1C8B"/>
    <w:rsid w:val="227439E1"/>
    <w:rsid w:val="22925F36"/>
    <w:rsid w:val="24044C11"/>
    <w:rsid w:val="280E1EE1"/>
    <w:rsid w:val="2AED63FF"/>
    <w:rsid w:val="2D3A16A4"/>
    <w:rsid w:val="2EFC0F71"/>
    <w:rsid w:val="2FD17AAB"/>
    <w:rsid w:val="30B71989"/>
    <w:rsid w:val="3A7530B5"/>
    <w:rsid w:val="3E3F2FBE"/>
    <w:rsid w:val="434B31B8"/>
    <w:rsid w:val="43A95C8F"/>
    <w:rsid w:val="46E110B6"/>
    <w:rsid w:val="49D62A28"/>
    <w:rsid w:val="4A875AD1"/>
    <w:rsid w:val="610A2B60"/>
    <w:rsid w:val="61AA2CEE"/>
    <w:rsid w:val="6494438F"/>
    <w:rsid w:val="65D30B92"/>
    <w:rsid w:val="66FE6CC3"/>
    <w:rsid w:val="678216A2"/>
    <w:rsid w:val="6931339D"/>
    <w:rsid w:val="6A36369E"/>
    <w:rsid w:val="6A7C2557"/>
    <w:rsid w:val="6E693F80"/>
    <w:rsid w:val="73E831D5"/>
    <w:rsid w:val="7C4122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1"/>
    <w:pPr>
      <w:spacing w:before="150"/>
      <w:ind w:left="768"/>
      <w:jc w:val="both"/>
      <w:outlineLvl w:val="1"/>
    </w:pPr>
    <w:rPr>
      <w:b/>
      <w:bCs/>
      <w:i/>
      <w:sz w:val="25"/>
      <w:szCs w:val="25"/>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3"/>
    <w:semiHidden/>
    <w:unhideWhenUsed/>
    <w:qFormat/>
    <w:uiPriority w:val="99"/>
    <w:rPr>
      <w:sz w:val="18"/>
      <w:szCs w:val="18"/>
    </w:rPr>
  </w:style>
  <w:style w:type="paragraph" w:styleId="5">
    <w:name w:val="footer"/>
    <w:basedOn w:val="1"/>
    <w:semiHidden/>
    <w:unhideWhenUsed/>
    <w:qFormat/>
    <w:uiPriority w:val="99"/>
    <w:pPr>
      <w:tabs>
        <w:tab w:val="center" w:pos="4153"/>
        <w:tab w:val="right" w:pos="8306"/>
      </w:tabs>
      <w:snapToGrid w:val="0"/>
      <w:jc w:val="left"/>
    </w:pPr>
    <w:rPr>
      <w:sz w:val="18"/>
    </w:rPr>
  </w:style>
  <w:style w:type="paragraph" w:styleId="6">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正"/>
    <w:basedOn w:val="1"/>
    <w:qFormat/>
    <w:uiPriority w:val="0"/>
    <w:pPr>
      <w:tabs>
        <w:tab w:val="left" w:pos="-120"/>
      </w:tabs>
      <w:adjustRightInd w:val="0"/>
      <w:spacing w:line="560" w:lineRule="exact"/>
      <w:ind w:firstLine="600"/>
      <w:textAlignment w:val="baseline"/>
    </w:pPr>
    <w:rPr>
      <w:rFonts w:ascii="仿宋_GB2312" w:hAnsi="Times New Roman" w:eastAsia="仿宋_GB2312" w:cs="Times New Roman"/>
      <w:color w:val="000000"/>
      <w:spacing w:val="20"/>
      <w:sz w:val="28"/>
      <w:szCs w:val="28"/>
    </w:rPr>
  </w:style>
  <w:style w:type="character" w:customStyle="1" w:styleId="13">
    <w:name w:val="批注框文本 Char"/>
    <w:basedOn w:val="10"/>
    <w:link w:val="4"/>
    <w:semiHidden/>
    <w:qFormat/>
    <w:uiPriority w:val="99"/>
    <w:rPr>
      <w:sz w:val="18"/>
      <w:szCs w:val="18"/>
    </w:rPr>
  </w:style>
  <w:style w:type="character" w:customStyle="1" w:styleId="14">
    <w:name w:val="font01"/>
    <w:basedOn w:val="10"/>
    <w:qFormat/>
    <w:uiPriority w:val="0"/>
    <w:rPr>
      <w:rFonts w:hint="eastAsia" w:ascii="宋体" w:hAnsi="宋体" w:eastAsia="宋体" w:cs="宋体"/>
      <w:color w:val="000000"/>
      <w:sz w:val="24"/>
      <w:szCs w:val="24"/>
      <w:u w:val="none"/>
    </w:rPr>
  </w:style>
  <w:style w:type="paragraph" w:customStyle="1" w:styleId="15">
    <w:name w:val="p_text_indent_2"/>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customStyle="1" w:styleId="1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0</Words>
  <Characters>0</Characters>
  <Lines>1</Lines>
  <Paragraphs>1</Paragraphs>
  <TotalTime>1</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2022-11-02T07:54:00Z</dcterms:created>
  <dc:creator>lenovo</dc:creator>
  <cp:lastModifiedBy>杰少</cp:lastModifiedBy>
  <cp:lastPrinted>2026-03-25T07:12:00Z</cp:lastPrinted>
  <dcterms:modified xsi:type="dcterms:W3CDTF">2026-06-10T02:58:02Z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D367609FD83D4F45AB77CD82C44CA82F_13</vt:lpwstr>
  </property>
  <property fmtid="{D5CDD505-2E9C-101B-9397-08002B2CF9AE}" pid="4" name="KSOTemplateDocerSaveRecord">
    <vt:lpwstr>eyJoZGlkIjoiNTJiMjdkMDI3YzViZGE0ZWRlYmQxZWNjYTM2MzFiMTMiLCJ1c2VySWQiOiIxNDk5NzY1NzM3In0=</vt:lpwstr>
  </property>
</Properties>
</file>