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580" w:type="dxa"/>
        <w:tblInd w:w="93" w:type="dxa"/>
        <w:tblLayout w:type="fixed"/>
        <w:tblCellMar>
          <w:top w:w="0" w:type="dxa"/>
          <w:left w:w="108" w:type="dxa"/>
          <w:bottom w:w="0" w:type="dxa"/>
          <w:right w:w="108" w:type="dxa"/>
        </w:tblCellMar>
      </w:tblPr>
      <w:tblGrid>
        <w:gridCol w:w="9580"/>
      </w:tblGrid>
      <w:tr w14:paraId="454EC6C2">
        <w:tblPrEx>
          <w:tblCellMar>
            <w:top w:w="0" w:type="dxa"/>
            <w:left w:w="108" w:type="dxa"/>
            <w:bottom w:w="0" w:type="dxa"/>
            <w:right w:w="108" w:type="dxa"/>
          </w:tblCellMar>
        </w:tblPrEx>
        <w:trPr>
          <w:trHeight w:val="7166" w:hRule="atLeast"/>
        </w:trPr>
        <w:tc>
          <w:tcPr>
            <w:tcW w:w="9580" w:type="dxa"/>
            <w:tcBorders>
              <w:top w:val="nil"/>
              <w:left w:val="nil"/>
              <w:bottom w:val="nil"/>
              <w:right w:val="nil"/>
            </w:tcBorders>
            <w:shd w:val="clear" w:color="auto" w:fill="auto"/>
            <w:noWrap/>
            <w:vAlign w:val="center"/>
          </w:tcPr>
          <w:p w14:paraId="2CAD9BFA">
            <w:pPr>
              <w:keepNext w:val="0"/>
              <w:keepLines w:val="0"/>
              <w:pageBreakBefore w:val="0"/>
              <w:kinsoku/>
              <w:wordWrap/>
              <w:overflowPunct/>
              <w:topLinePunct w:val="0"/>
              <w:autoSpaceDE/>
              <w:autoSpaceDN/>
              <w:bidi w:val="0"/>
              <w:ind w:firstLine="562" w:firstLineChars="200"/>
              <w:rPr>
                <w:rFonts w:hint="default" w:ascii="仿宋" w:hAnsi="仿宋" w:eastAsia="仿宋" w:cs="仿宋"/>
                <w:color w:val="000000" w:themeColor="text1"/>
                <w:kern w:val="0"/>
                <w:sz w:val="30"/>
                <w:szCs w:val="30"/>
                <w:lang w:val="en-US" w:eastAsia="zh-CN" w:bidi="ar-SA"/>
                <w14:textFill>
                  <w14:solidFill>
                    <w14:schemeClr w14:val="tx1"/>
                  </w14:solidFill>
                </w14:textFill>
              </w:rPr>
            </w:pPr>
            <w:bookmarkStart w:id="0" w:name="_GoBack"/>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 xml:space="preserve">附件：   （一）、 </w:t>
            </w:r>
            <w:r>
              <w:rPr>
                <w:rFonts w:hint="eastAsia" w:ascii="仿宋" w:hAnsi="仿宋" w:eastAsia="仿宋" w:cs="仿宋"/>
                <w:b/>
                <w:bCs/>
                <w:color w:val="000000" w:themeColor="text1"/>
                <w:kern w:val="0"/>
                <w:sz w:val="30"/>
                <w:szCs w:val="30"/>
                <w:lang w:val="en-US" w:eastAsia="zh-CN" w:bidi="ar-SA"/>
                <w14:textFill>
                  <w14:solidFill>
                    <w14:schemeClr w14:val="tx1"/>
                  </w14:solidFill>
                </w14:textFill>
              </w:rPr>
              <w:t>烟感报警器安装项目采购清单</w:t>
            </w:r>
          </w:p>
          <w:bookmarkEnd w:id="0"/>
          <w:tbl>
            <w:tblPr>
              <w:tblStyle w:val="9"/>
              <w:tblpPr w:leftFromText="180" w:rightFromText="180" w:vertAnchor="page" w:horzAnchor="page" w:tblpX="-246" w:tblpY="823"/>
              <w:tblOverlap w:val="never"/>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1584"/>
              <w:gridCol w:w="2148"/>
              <w:gridCol w:w="1225"/>
              <w:gridCol w:w="874"/>
              <w:gridCol w:w="1244"/>
            </w:tblGrid>
            <w:tr w14:paraId="3A49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062" w:type="dxa"/>
                </w:tcPr>
                <w:p w14:paraId="78F3FEB5">
                  <w:pPr>
                    <w:keepNext w:val="0"/>
                    <w:keepLines w:val="0"/>
                    <w:pageBreakBefore w:val="0"/>
                    <w:kinsoku/>
                    <w:wordWrap/>
                    <w:overflowPunct/>
                    <w:topLinePunct w:val="0"/>
                    <w:autoSpaceDE/>
                    <w:autoSpaceDN/>
                    <w:bidi w:val="0"/>
                    <w:ind w:firstLine="600" w:firstLineChars="200"/>
                    <w:jc w:val="center"/>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物品名称</w:t>
                  </w:r>
                </w:p>
              </w:tc>
              <w:tc>
                <w:tcPr>
                  <w:tcW w:w="1584" w:type="dxa"/>
                </w:tcPr>
                <w:p w14:paraId="11BB426A">
                  <w:pPr>
                    <w:keepNext w:val="0"/>
                    <w:keepLines w:val="0"/>
                    <w:pageBreakBefore w:val="0"/>
                    <w:kinsoku/>
                    <w:wordWrap/>
                    <w:overflowPunct/>
                    <w:topLinePunct w:val="0"/>
                    <w:autoSpaceDE/>
                    <w:autoSpaceDN/>
                    <w:bidi w:val="0"/>
                    <w:jc w:val="both"/>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推荐品牌</w:t>
                  </w:r>
                </w:p>
              </w:tc>
              <w:tc>
                <w:tcPr>
                  <w:tcW w:w="2148" w:type="dxa"/>
                </w:tcPr>
                <w:p w14:paraId="109BE918">
                  <w:pPr>
                    <w:keepNext w:val="0"/>
                    <w:keepLines w:val="0"/>
                    <w:pageBreakBefore w:val="0"/>
                    <w:kinsoku/>
                    <w:wordWrap/>
                    <w:overflowPunct/>
                    <w:topLinePunct w:val="0"/>
                    <w:autoSpaceDE/>
                    <w:autoSpaceDN/>
                    <w:bidi w:val="0"/>
                    <w:ind w:firstLine="600" w:firstLineChars="200"/>
                    <w:jc w:val="both"/>
                    <w:rPr>
                      <w:rFonts w:hint="eastAsia"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数 量</w:t>
                  </w:r>
                </w:p>
              </w:tc>
              <w:tc>
                <w:tcPr>
                  <w:tcW w:w="1225" w:type="dxa"/>
                </w:tcPr>
                <w:p w14:paraId="0812819B">
                  <w:pPr>
                    <w:keepNext w:val="0"/>
                    <w:keepLines w:val="0"/>
                    <w:pageBreakBefore w:val="0"/>
                    <w:kinsoku/>
                    <w:wordWrap/>
                    <w:overflowPunct/>
                    <w:topLinePunct w:val="0"/>
                    <w:autoSpaceDE/>
                    <w:autoSpaceDN/>
                    <w:bidi w:val="0"/>
                    <w:jc w:val="both"/>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单价</w:t>
                  </w:r>
                </w:p>
              </w:tc>
              <w:tc>
                <w:tcPr>
                  <w:tcW w:w="874" w:type="dxa"/>
                </w:tcPr>
                <w:p w14:paraId="14F11920">
                  <w:pPr>
                    <w:keepNext w:val="0"/>
                    <w:keepLines w:val="0"/>
                    <w:pageBreakBefore w:val="0"/>
                    <w:kinsoku/>
                    <w:wordWrap/>
                    <w:overflowPunct/>
                    <w:topLinePunct w:val="0"/>
                    <w:autoSpaceDE/>
                    <w:autoSpaceDN/>
                    <w:bidi w:val="0"/>
                    <w:jc w:val="both"/>
                    <w:rPr>
                      <w:rFonts w:hint="eastAsia"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总价</w:t>
                  </w:r>
                </w:p>
              </w:tc>
              <w:tc>
                <w:tcPr>
                  <w:tcW w:w="1244" w:type="dxa"/>
                </w:tcPr>
                <w:p w14:paraId="4478C049">
                  <w:pPr>
                    <w:keepNext w:val="0"/>
                    <w:keepLines w:val="0"/>
                    <w:pageBreakBefore w:val="0"/>
                    <w:kinsoku/>
                    <w:wordWrap/>
                    <w:overflowPunct/>
                    <w:topLinePunct w:val="0"/>
                    <w:autoSpaceDE/>
                    <w:autoSpaceDN/>
                    <w:bidi w:val="0"/>
                    <w:jc w:val="both"/>
                    <w:rPr>
                      <w:rFonts w:hint="eastAsia"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备 注</w:t>
                  </w:r>
                </w:p>
              </w:tc>
            </w:tr>
            <w:tr w14:paraId="0A6D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062" w:type="dxa"/>
                </w:tcPr>
                <w:p w14:paraId="21D1229A">
                  <w:pPr>
                    <w:keepNext w:val="0"/>
                    <w:keepLines w:val="0"/>
                    <w:pageBreakBefore w:val="0"/>
                    <w:tabs>
                      <w:tab w:val="left" w:pos="617"/>
                    </w:tabs>
                    <w:kinsoku/>
                    <w:wordWrap/>
                    <w:overflowPunct/>
                    <w:topLinePunct w:val="0"/>
                    <w:autoSpaceDE/>
                    <w:autoSpaceDN/>
                    <w:bidi w:val="0"/>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烟感报警器</w:t>
                  </w:r>
                </w:p>
              </w:tc>
              <w:tc>
                <w:tcPr>
                  <w:tcW w:w="1584" w:type="dxa"/>
                </w:tcPr>
                <w:p w14:paraId="01E47C28">
                  <w:pPr>
                    <w:keepNext w:val="0"/>
                    <w:keepLines w:val="0"/>
                    <w:pageBreakBefore w:val="0"/>
                    <w:kinsoku/>
                    <w:wordWrap/>
                    <w:overflowPunct/>
                    <w:topLinePunct w:val="0"/>
                    <w:autoSpaceDE/>
                    <w:autoSpaceDN/>
                    <w:bidi w:val="0"/>
                    <w:jc w:val="both"/>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杭州拓深、宇旷、卓羽</w:t>
                  </w:r>
                </w:p>
              </w:tc>
              <w:tc>
                <w:tcPr>
                  <w:tcW w:w="2148" w:type="dxa"/>
                </w:tcPr>
                <w:p w14:paraId="4A57497A">
                  <w:pPr>
                    <w:keepNext w:val="0"/>
                    <w:keepLines w:val="0"/>
                    <w:pageBreakBefore w:val="0"/>
                    <w:kinsoku/>
                    <w:wordWrap/>
                    <w:overflowPunct/>
                    <w:topLinePunct w:val="0"/>
                    <w:autoSpaceDE/>
                    <w:autoSpaceDN/>
                    <w:bidi w:val="0"/>
                    <w:ind w:firstLine="600" w:firstLineChars="200"/>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459</w:t>
                  </w:r>
                </w:p>
              </w:tc>
              <w:tc>
                <w:tcPr>
                  <w:tcW w:w="1225" w:type="dxa"/>
                </w:tcPr>
                <w:p w14:paraId="3B409C1E">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874" w:type="dxa"/>
                </w:tcPr>
                <w:p w14:paraId="0265E813">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44" w:type="dxa"/>
                </w:tcPr>
                <w:p w14:paraId="5DE464D3">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r>
            <w:tr w14:paraId="4E65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062" w:type="dxa"/>
                </w:tcPr>
                <w:p w14:paraId="6F568B8B">
                  <w:pPr>
                    <w:keepNext w:val="0"/>
                    <w:keepLines w:val="0"/>
                    <w:pageBreakBefore w:val="0"/>
                    <w:kinsoku/>
                    <w:wordWrap/>
                    <w:overflowPunct/>
                    <w:topLinePunct w:val="0"/>
                    <w:autoSpaceDE/>
                    <w:autoSpaceDN/>
                    <w:bidi w:val="0"/>
                    <w:ind w:firstLine="600" w:firstLineChars="200"/>
                    <w:jc w:val="center"/>
                    <w:rPr>
                      <w:rFonts w:hint="default" w:ascii="仿宋" w:hAnsi="仿宋" w:eastAsia="仿宋" w:cs="仿宋"/>
                      <w:color w:val="000000" w:themeColor="text1"/>
                      <w:kern w:val="0"/>
                      <w:sz w:val="30"/>
                      <w:szCs w:val="30"/>
                      <w:lang w:val="en-US" w:eastAsia="zh-CN" w:bidi="ar-SA"/>
                      <w14:textFill>
                        <w14:solidFill>
                          <w14:schemeClr w14:val="tx1"/>
                        </w14:solidFill>
                      </w14:textFill>
                    </w:rPr>
                  </w:pPr>
                </w:p>
              </w:tc>
              <w:tc>
                <w:tcPr>
                  <w:tcW w:w="1584" w:type="dxa"/>
                </w:tcPr>
                <w:p w14:paraId="2E9B1BAB">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2148" w:type="dxa"/>
                </w:tcPr>
                <w:p w14:paraId="3E7C3A8D">
                  <w:pPr>
                    <w:keepNext w:val="0"/>
                    <w:keepLines w:val="0"/>
                    <w:pageBreakBefore w:val="0"/>
                    <w:kinsoku/>
                    <w:wordWrap/>
                    <w:overflowPunct/>
                    <w:topLinePunct w:val="0"/>
                    <w:autoSpaceDE/>
                    <w:autoSpaceDN/>
                    <w:bidi w:val="0"/>
                    <w:ind w:firstLine="600" w:firstLineChars="200"/>
                    <w:jc w:val="center"/>
                    <w:rPr>
                      <w:rFonts w:hint="default" w:ascii="仿宋" w:hAnsi="仿宋" w:eastAsia="仿宋" w:cs="仿宋"/>
                      <w:color w:val="000000" w:themeColor="text1"/>
                      <w:kern w:val="0"/>
                      <w:sz w:val="30"/>
                      <w:szCs w:val="30"/>
                      <w:lang w:val="en-US" w:eastAsia="zh-CN" w:bidi="ar-SA"/>
                      <w14:textFill>
                        <w14:solidFill>
                          <w14:schemeClr w14:val="tx1"/>
                        </w14:solidFill>
                      </w14:textFill>
                    </w:rPr>
                  </w:pPr>
                </w:p>
              </w:tc>
              <w:tc>
                <w:tcPr>
                  <w:tcW w:w="1225" w:type="dxa"/>
                </w:tcPr>
                <w:p w14:paraId="64859ED6">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874" w:type="dxa"/>
                </w:tcPr>
                <w:p w14:paraId="0F7E04F6">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44" w:type="dxa"/>
                </w:tcPr>
                <w:p w14:paraId="08691AF3">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r>
            <w:tr w14:paraId="7882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062" w:type="dxa"/>
                </w:tcPr>
                <w:p w14:paraId="55C6475E">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584" w:type="dxa"/>
                </w:tcPr>
                <w:p w14:paraId="0FBC26FA">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2148" w:type="dxa"/>
                </w:tcPr>
                <w:p w14:paraId="542BD540">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25" w:type="dxa"/>
                </w:tcPr>
                <w:p w14:paraId="0A35D91D">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874" w:type="dxa"/>
                </w:tcPr>
                <w:p w14:paraId="3FE7BA9D">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44" w:type="dxa"/>
                </w:tcPr>
                <w:p w14:paraId="34CD6F6D">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r>
            <w:tr w14:paraId="0D6B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019" w:type="dxa"/>
                  <w:gridSpan w:val="4"/>
                </w:tcPr>
                <w:p w14:paraId="5E74EE45">
                  <w:pPr>
                    <w:keepNext w:val="0"/>
                    <w:keepLines w:val="0"/>
                    <w:pageBreakBefore w:val="0"/>
                    <w:widowControl/>
                    <w:kinsoku/>
                    <w:wordWrap/>
                    <w:overflowPunct/>
                    <w:topLinePunct w:val="0"/>
                    <w:autoSpaceDE/>
                    <w:autoSpaceDN/>
                    <w:bidi w:val="0"/>
                    <w:ind w:firstLine="600" w:firstLineChars="200"/>
                    <w:jc w:val="left"/>
                    <w:rPr>
                      <w:rFonts w:hint="eastAsia"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合计：</w:t>
                  </w:r>
                </w:p>
              </w:tc>
              <w:tc>
                <w:tcPr>
                  <w:tcW w:w="874" w:type="dxa"/>
                </w:tcPr>
                <w:p w14:paraId="17B939ED">
                  <w:pPr>
                    <w:keepNext w:val="0"/>
                    <w:keepLines w:val="0"/>
                    <w:pageBreakBefore w:val="0"/>
                    <w:widowControl/>
                    <w:kinsoku/>
                    <w:wordWrap/>
                    <w:overflowPunct/>
                    <w:topLinePunct w:val="0"/>
                    <w:autoSpaceDE/>
                    <w:autoSpaceDN/>
                    <w:bidi w:val="0"/>
                    <w:ind w:firstLine="600" w:firstLineChars="200"/>
                    <w:jc w:val="left"/>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44" w:type="dxa"/>
                </w:tcPr>
                <w:p w14:paraId="4E4F94F7">
                  <w:pPr>
                    <w:keepNext w:val="0"/>
                    <w:keepLines w:val="0"/>
                    <w:pageBreakBefore w:val="0"/>
                    <w:widowControl/>
                    <w:kinsoku/>
                    <w:wordWrap/>
                    <w:overflowPunct/>
                    <w:topLinePunct w:val="0"/>
                    <w:autoSpaceDE/>
                    <w:autoSpaceDN/>
                    <w:bidi w:val="0"/>
                    <w:ind w:firstLine="600" w:firstLineChars="200"/>
                    <w:jc w:val="left"/>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r>
          </w:tbl>
          <w:p w14:paraId="558B7CC5">
            <w:pPr>
              <w:keepNext w:val="0"/>
              <w:keepLines w:val="0"/>
              <w:pageBreakBefore w:val="0"/>
              <w:kinsoku/>
              <w:wordWrap/>
              <w:overflowPunct/>
              <w:topLinePunct w:val="0"/>
              <w:autoSpaceDE/>
              <w:autoSpaceDN/>
              <w:bidi w:val="0"/>
              <w:rPr>
                <w:rFonts w:hint="eastAsia" w:ascii="仿宋" w:hAnsi="仿宋" w:eastAsia="仿宋" w:cs="仿宋"/>
                <w:color w:val="000000" w:themeColor="text1"/>
                <w:kern w:val="0"/>
                <w:sz w:val="30"/>
                <w:szCs w:val="30"/>
                <w:lang w:val="en-US" w:eastAsia="zh-CN" w:bidi="ar-SA"/>
                <w14:textFill>
                  <w14:solidFill>
                    <w14:schemeClr w14:val="tx1"/>
                  </w14:solidFill>
                </w14:textFill>
              </w:rPr>
            </w:pPr>
          </w:p>
          <w:p w14:paraId="7A52608C">
            <w:pPr>
              <w:keepNext w:val="0"/>
              <w:keepLines w:val="0"/>
              <w:pageBreakBefore w:val="0"/>
              <w:kinsoku/>
              <w:wordWrap/>
              <w:overflowPunct/>
              <w:topLinePunct w:val="0"/>
              <w:autoSpaceDE/>
              <w:autoSpaceDN/>
              <w:bidi w:val="0"/>
              <w:ind w:right="-34" w:rightChars="-16"/>
              <w:rPr>
                <w:rFonts w:hint="eastAsia" w:ascii="仿宋" w:hAnsi="仿宋" w:eastAsia="仿宋" w:cs="仿宋"/>
                <w:color w:val="000000" w:themeColor="text1"/>
                <w:kern w:val="0"/>
                <w:sz w:val="28"/>
                <w:szCs w:val="28"/>
                <w:lang w:val="en-US" w:eastAsia="zh-CN" w:bidi="ar-SA"/>
                <w14:textFill>
                  <w14:solidFill>
                    <w14:schemeClr w14:val="tx1"/>
                  </w14:solidFill>
                </w14:textFill>
              </w:rPr>
            </w:pPr>
          </w:p>
        </w:tc>
      </w:tr>
    </w:tbl>
    <w:p w14:paraId="6EF3ACDA">
      <w:pPr>
        <w:keepNext w:val="0"/>
        <w:keepLines w:val="0"/>
        <w:pageBreakBefore w:val="0"/>
        <w:kinsoku/>
        <w:wordWrap/>
        <w:overflowPunct/>
        <w:topLinePunct w:val="0"/>
        <w:autoSpaceDE/>
        <w:autoSpaceDN/>
        <w:bidi w:val="0"/>
        <w:spacing w:line="360" w:lineRule="auto"/>
        <w:ind w:firstLine="640" w:firstLineChars="200"/>
        <w:rPr>
          <w:rFonts w:hint="default"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 xml:space="preserve"> </w:t>
      </w: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 xml:space="preserve"> 备注：标“*”项目，是对产品的必备要求，须在投标文件中提供相关资料，否则投标文件无效。</w:t>
      </w:r>
    </w:p>
    <w:p w14:paraId="4D985D2E">
      <w:pPr>
        <w:keepNext w:val="0"/>
        <w:keepLines w:val="0"/>
        <w:pageBreakBefore w:val="0"/>
        <w:kinsoku/>
        <w:wordWrap/>
        <w:overflowPunct/>
        <w:topLinePunct w:val="0"/>
        <w:autoSpaceDE/>
        <w:autoSpaceDN/>
        <w:bidi w:val="0"/>
        <w:ind w:firstLine="602" w:firstLineChars="200"/>
        <w:rPr>
          <w:rFonts w:hint="eastAsia" w:ascii="仿宋" w:hAnsi="仿宋" w:eastAsia="仿宋" w:cs="仿宋"/>
          <w:b/>
          <w:bCs/>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bCs/>
          <w:i w:val="0"/>
          <w:color w:val="000000" w:themeColor="text1"/>
          <w:kern w:val="0"/>
          <w:sz w:val="30"/>
          <w:szCs w:val="30"/>
          <w:lang w:val="en-US" w:eastAsia="zh-CN" w:bidi="ar-SA"/>
          <w14:textFill>
            <w14:solidFill>
              <w14:schemeClr w14:val="tx1"/>
            </w14:solidFill>
          </w14:textFill>
        </w:rPr>
        <w:t>（二）、采购需求：</w:t>
      </w:r>
    </w:p>
    <w:p w14:paraId="39D11D58">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1.报价要求</w:t>
      </w:r>
    </w:p>
    <w:p w14:paraId="55B19609">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报价包含：报警器及安装、调试、税费、3年质保、售后服务等全部费用，定标后不增补任何费用。</w:t>
      </w:r>
    </w:p>
    <w:p w14:paraId="5393968D">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2.工期要求</w:t>
      </w:r>
    </w:p>
    <w:p w14:paraId="46E99F20">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合同签订后30个日历天内完成并通过验收。</w:t>
      </w:r>
    </w:p>
    <w:p w14:paraId="4457E915">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3.质量与合规要求</w:t>
      </w:r>
    </w:p>
    <w:p w14:paraId="0AE16366">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报警器为全新原厂正品，无破损、无变形。提供产品合格证、出厂检测报告。安装符合国家消防规范与现场安全文明施工要求，通过校方验收。</w:t>
      </w:r>
    </w:p>
    <w:p w14:paraId="0C1AD906">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4.售后服务</w:t>
      </w:r>
    </w:p>
    <w:p w14:paraId="6D5080CB">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质保期3年，接到故障通知24小时内上门，48小时内解决问题。质保期内非人为损坏免费维修、免费更换部件、电池。</w:t>
      </w:r>
    </w:p>
    <w:p w14:paraId="49E2A68C">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5.验收标准</w:t>
      </w:r>
    </w:p>
    <w:p w14:paraId="771132E4">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按招标文件、投标文件、合同、国家消防规范及技术参数验收。报警器结构稳固、配件齐全、功能正常。</w:t>
      </w:r>
    </w:p>
    <w:p w14:paraId="5892481C">
      <w:pPr>
        <w:keepNext w:val="0"/>
        <w:keepLines w:val="0"/>
        <w:pageBreakBefore w:val="0"/>
        <w:kinsoku/>
        <w:wordWrap/>
        <w:overflowPunct/>
        <w:topLinePunct w:val="0"/>
        <w:autoSpaceDE/>
        <w:autoSpaceDN/>
        <w:bidi w:val="0"/>
        <w:ind w:firstLine="602" w:firstLineChars="200"/>
        <w:rPr>
          <w:rFonts w:hint="eastAsia" w:ascii="仿宋" w:hAnsi="仿宋" w:eastAsia="仿宋" w:cs="仿宋"/>
          <w:b/>
          <w:bCs/>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bCs/>
          <w:i w:val="0"/>
          <w:color w:val="000000" w:themeColor="text1"/>
          <w:kern w:val="0"/>
          <w:sz w:val="30"/>
          <w:szCs w:val="30"/>
          <w:lang w:val="en-US" w:eastAsia="zh-CN" w:bidi="ar-SA"/>
          <w14:textFill>
            <w14:solidFill>
              <w14:schemeClr w14:val="tx1"/>
            </w14:solidFill>
          </w14:textFill>
        </w:rPr>
        <w:t>（三）、技术要求：</w:t>
      </w:r>
    </w:p>
    <w:p w14:paraId="043E7AF5">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1.通讯方式 NB-loT（支持移动、联通、电信NB-loT）；</w:t>
      </w:r>
    </w:p>
    <w:p w14:paraId="4A5A6C4E">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2.设备能够监测探测周围环境温度，当温度超过设定的报警阀值时报警，并将报警信息上传管理平台；</w:t>
      </w:r>
    </w:p>
    <w:p w14:paraId="1485AB1D">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3.设备能够监测探测周围烟雾浓度，当烟雾浓度超过设定的报警阀值时报警，并将报警信息上传管理平台，当烟雾的浓度低于报警浓度时，报警器恢复为正常工作状态；</w:t>
      </w:r>
    </w:p>
    <w:p w14:paraId="7B5BAE21">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4.设备能够监测探测周围水汽浓度，当水汽浓度超过报警阈值时设备低声低频率提醒，并将水汽干扰信息上传管理平台，当水汽浓度低于阈值时，报警器恢复正常工作状态，若水汽浓度超过阈值较长时间，报警器仍会按烟雾报警声级、频率报警；</w:t>
      </w:r>
    </w:p>
    <w:p w14:paraId="49F8A3DD">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5.设备能够监测探测周围粉尘浓度，当粉尘浓度超过报警阈值时设备不触 发报警，并将粉尘干扰信息上传管理平台，当粉尘浓度低于阈值时，报警器 恢复正常工作状态，若粉尘浓度超过阈值较长时间，报警器仍会按烟雾报警声级、频率报警；</w:t>
      </w:r>
    </w:p>
    <w:p w14:paraId="06A494DE">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6.为方便管理，在烟雾报警、温度报警或同时报警下，设备应自动提升分成三级报警，同时将信息上报到监控中心智慧消防平台；</w:t>
      </w:r>
    </w:p>
    <w:p w14:paraId="62942863">
      <w:pPr>
        <w:keepNext w:val="0"/>
        <w:keepLines w:val="0"/>
        <w:pageBreakBefore w:val="0"/>
        <w:kinsoku/>
        <w:wordWrap/>
        <w:overflowPunct/>
        <w:topLinePunct w:val="0"/>
        <w:autoSpaceDE/>
        <w:autoSpaceDN/>
        <w:bidi w:val="0"/>
        <w:spacing w:line="360" w:lineRule="auto"/>
        <w:ind w:firstLine="600" w:firstLineChars="200"/>
        <w:rPr>
          <w:rFonts w:hint="default"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*7.设备具有防拆报警功能(投标文件中提供第三方有权机构出具的带有CMA或CNAS标识的检测报告扫描件），可将报警信号与校内现有智慧消防综合管理平台接入；</w:t>
      </w:r>
    </w:p>
    <w:p w14:paraId="60ABB04A">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*8.为保证产品续航，电池容量需≥2400mAH(投标文件中提供第三方有权机构出具的带有CMA或CNAS标识的检测报告扫描件）；</w:t>
      </w:r>
    </w:p>
    <w:p w14:paraId="4E884F3C">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*9.具备远程消音的功能，在设备持续报警时，通过远程命令（Web端及APP端）可进行设备的现场消音(投标文件中提供第三方有权机构出具的带有CMA或CNAS标识的检测报告扫描件）；</w:t>
      </w:r>
    </w:p>
    <w:p w14:paraId="111BCE40">
      <w:pPr>
        <w:keepNext w:val="0"/>
        <w:keepLines w:val="0"/>
        <w:pageBreakBefore w:val="0"/>
        <w:kinsoku/>
        <w:wordWrap/>
        <w:overflowPunct/>
        <w:topLinePunct w:val="0"/>
        <w:autoSpaceDE/>
        <w:autoSpaceDN/>
        <w:bidi w:val="0"/>
        <w:spacing w:line="360" w:lineRule="auto"/>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*10.为满足恶劣环境使用要求，设备在(-20±2) ℃~(50±2) ℃环境下可正常工作(投标文件中提供第三方有权机构出具的带有CMA或CNAS标识的检测报告扫描件）；</w:t>
      </w:r>
    </w:p>
    <w:p w14:paraId="7A44E55B">
      <w:pPr>
        <w:rPr>
          <w:rFonts w:hint="default"/>
          <w:lang w:val="en-US" w:eastAsia="zh-CN"/>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投标人所提供产品，必须无缝接入安徽电子信息职业技术学院监控中心现有智慧消防综合管理平台，提供三年网络服务费，若产生其他费用，均由投标人自行承担。中标方在施工前，需要完成接入测试，否则由此带来的一切后果，均由投标人自行承担。质保到期后，中标单位需对烟感设备进行一次性的整体检测。对如设备灵敏度下降、误报频繁或外观明显损坏等情况，报经甲方同意按成本价及时更换新的同档次产品的烟感或配件。对于电池等易耗配件，报经甲方同意根据使用寿命以不高于市场价进行更换，并需确保长期使用过程中保持性能稳定。质保期后，设备资费卡年费，中标单位报经甲方同意后，根据市场运营商流量资费卡的成本价格协助甲方办理充值续费。</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9B17F">
    <w:pPr>
      <w:spacing w:before="1" w:line="235" w:lineRule="auto"/>
      <w:ind w:left="12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8"/>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F40C">
    <w:pPr>
      <w:pStyle w:val="2"/>
      <w:keepNext w:val="0"/>
      <w:keepLines w:val="0"/>
      <w:widowControl/>
      <w:suppressLineNumbers w:val="0"/>
      <w:pBdr>
        <w:top w:val="none" w:color="auto" w:sz="0" w:space="0"/>
        <w:left w:val="none" w:color="auto" w:sz="0" w:space="0"/>
        <w:bottom w:val="single" w:color="ECECEC" w:sz="6" w:space="7"/>
        <w:right w:val="none" w:color="auto" w:sz="0" w:space="0"/>
      </w:pBdr>
      <w:shd w:val="clear" w:fill="FFFFFF"/>
      <w:spacing w:before="0" w:beforeAutospacing="0" w:after="0" w:afterAutospacing="0" w:line="390" w:lineRule="atLeast"/>
      <w:ind w:left="0" w:right="0" w:firstLine="0"/>
      <w:jc w:val="both"/>
      <w:rPr>
        <w:rFonts w:ascii="微软雅黑" w:hAnsi="微软雅黑" w:eastAsia="微软雅黑" w:cs="微软雅黑"/>
        <w:b/>
        <w:bCs/>
        <w:i w:val="0"/>
        <w:iCs w:val="0"/>
        <w:caps w:val="0"/>
        <w:color w:val="8F000B"/>
        <w:spacing w:val="0"/>
        <w:sz w:val="33"/>
        <w:szCs w:val="33"/>
      </w:rPr>
    </w:pPr>
  </w:p>
  <w:p w14:paraId="675F0F88">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ZmQyNzU1YWY5M2I2NDNhZmQ2ZGFlOTAwNjczYmUifQ=="/>
  </w:docVars>
  <w:rsids>
    <w:rsidRoot w:val="0098586C"/>
    <w:rsid w:val="00437597"/>
    <w:rsid w:val="006E4729"/>
    <w:rsid w:val="007E64FC"/>
    <w:rsid w:val="00804666"/>
    <w:rsid w:val="0098586C"/>
    <w:rsid w:val="012F0438"/>
    <w:rsid w:val="01477581"/>
    <w:rsid w:val="028B4B3D"/>
    <w:rsid w:val="09A0136D"/>
    <w:rsid w:val="0BFC06F7"/>
    <w:rsid w:val="100F08ED"/>
    <w:rsid w:val="117D0518"/>
    <w:rsid w:val="132179FB"/>
    <w:rsid w:val="190912D0"/>
    <w:rsid w:val="1D9349F0"/>
    <w:rsid w:val="217F6677"/>
    <w:rsid w:val="220C1C8B"/>
    <w:rsid w:val="227439E1"/>
    <w:rsid w:val="22925F36"/>
    <w:rsid w:val="24044C11"/>
    <w:rsid w:val="280E1EE1"/>
    <w:rsid w:val="2AED63FF"/>
    <w:rsid w:val="2D3A16A4"/>
    <w:rsid w:val="2EFC0F71"/>
    <w:rsid w:val="2FD17AAB"/>
    <w:rsid w:val="30B71989"/>
    <w:rsid w:val="3A7530B5"/>
    <w:rsid w:val="3E3F2FBE"/>
    <w:rsid w:val="434B31B8"/>
    <w:rsid w:val="43A95C8F"/>
    <w:rsid w:val="46CA4C5D"/>
    <w:rsid w:val="46E110B6"/>
    <w:rsid w:val="49D62A28"/>
    <w:rsid w:val="4A875AD1"/>
    <w:rsid w:val="610A2B60"/>
    <w:rsid w:val="61AA2CEE"/>
    <w:rsid w:val="6494438F"/>
    <w:rsid w:val="65542650"/>
    <w:rsid w:val="65D30B92"/>
    <w:rsid w:val="66FE6CC3"/>
    <w:rsid w:val="678216A2"/>
    <w:rsid w:val="6931339D"/>
    <w:rsid w:val="6A36369E"/>
    <w:rsid w:val="6A7C2557"/>
    <w:rsid w:val="6E693F80"/>
    <w:rsid w:val="73E831D5"/>
    <w:rsid w:val="7C412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1"/>
    <w:pPr>
      <w:spacing w:before="150"/>
      <w:ind w:left="768"/>
      <w:jc w:val="both"/>
      <w:outlineLvl w:val="1"/>
    </w:pPr>
    <w:rPr>
      <w:b/>
      <w:bCs/>
      <w:i/>
      <w:sz w:val="25"/>
      <w:szCs w:val="25"/>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sz w:val="28"/>
      <w:szCs w:val="28"/>
    </w:rPr>
  </w:style>
  <w:style w:type="character" w:customStyle="1" w:styleId="13">
    <w:name w:val="批注框文本 Char"/>
    <w:basedOn w:val="10"/>
    <w:link w:val="4"/>
    <w:semiHidden/>
    <w:qFormat/>
    <w:uiPriority w:val="99"/>
    <w:rPr>
      <w:sz w:val="18"/>
      <w:szCs w:val="18"/>
    </w:rPr>
  </w:style>
  <w:style w:type="character" w:customStyle="1" w:styleId="14">
    <w:name w:val="font01"/>
    <w:basedOn w:val="10"/>
    <w:qFormat/>
    <w:uiPriority w:val="0"/>
    <w:rPr>
      <w:rFonts w:hint="eastAsia" w:ascii="宋体" w:hAnsi="宋体" w:eastAsia="宋体" w:cs="宋体"/>
      <w:color w:val="000000"/>
      <w:sz w:val="24"/>
      <w:szCs w:val="24"/>
      <w:u w:val="none"/>
    </w:rPr>
  </w:style>
  <w:style w:type="paragraph" w:customStyle="1" w:styleId="15">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0</Words>
  <Characters>0</Characters>
  <Lines>1</Lines>
  <Paragraphs>1</Paragraphs>
  <TotalTime>4</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2022-11-02T07:54:00Z</dcterms:created>
  <dc:creator>lenovo</dc:creator>
  <cp:lastModifiedBy>ASUS</cp:lastModifiedBy>
  <cp:lastPrinted>2026-03-25T07:12:00Z</cp:lastPrinted>
  <dcterms:modified xsi:type="dcterms:W3CDTF">2026-07-17T08:43:31Z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DFE4A98967B54D379A45D5C0669117EE_13</vt:lpwstr>
  </property>
  <property fmtid="{D5CDD505-2E9C-101B-9397-08002B2CF9AE}" pid="4" name="KSOTemplateDocerSaveRecord">
    <vt:lpwstr>eyJoZGlkIjoiNTJiMjdkMDI3YzViZGE0ZWRlYmQxZWNjYTM2MzFiMTMiLCJ1c2VySWQiOiIxNDk5NzY1NzM3In0=</vt:lpwstr>
  </property>
</Properties>
</file>