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6C55F">
      <w:pPr>
        <w:spacing w:line="500" w:lineRule="exact"/>
        <w:ind w:firstLine="562" w:firstLineChars="200"/>
        <w:jc w:val="left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附件1：</w:t>
      </w:r>
    </w:p>
    <w:p w14:paraId="02DB1187">
      <w:pPr>
        <w:adjustRightInd w:val="0"/>
        <w:snapToGrid w:val="0"/>
        <w:spacing w:line="500" w:lineRule="exact"/>
        <w:jc w:val="center"/>
        <w:rPr>
          <w:rFonts w:hint="eastAsia" w:ascii="黑体" w:hAnsi="黑体" w:eastAsia="黑体"/>
          <w:b/>
          <w:sz w:val="36"/>
          <w:szCs w:val="44"/>
        </w:rPr>
      </w:pPr>
      <w:r>
        <w:rPr>
          <w:rFonts w:hint="eastAsia" w:ascii="黑体" w:hAnsi="黑体" w:eastAsia="黑体"/>
          <w:b/>
          <w:sz w:val="36"/>
          <w:szCs w:val="44"/>
        </w:rPr>
        <w:t>2025年安徽电子信息职业技术学院</w:t>
      </w:r>
    </w:p>
    <w:p w14:paraId="1E0062F1">
      <w:pPr>
        <w:adjustRightInd w:val="0"/>
        <w:snapToGrid w:val="0"/>
        <w:spacing w:line="500" w:lineRule="exact"/>
        <w:jc w:val="center"/>
        <w:rPr>
          <w:rFonts w:ascii="黑体" w:hAnsi="黑体" w:eastAsia="黑体"/>
          <w:b/>
          <w:sz w:val="36"/>
          <w:szCs w:val="44"/>
        </w:rPr>
      </w:pPr>
      <w:r>
        <w:rPr>
          <w:rFonts w:hint="eastAsia" w:ascii="黑体" w:hAnsi="黑体" w:eastAsia="黑体"/>
          <w:b/>
          <w:sz w:val="36"/>
          <w:szCs w:val="44"/>
        </w:rPr>
        <w:t>市场营销技能大赛赛项规程</w:t>
      </w:r>
    </w:p>
    <w:p w14:paraId="34D4E48E">
      <w:pPr>
        <w:spacing w:line="500" w:lineRule="exact"/>
        <w:ind w:firstLine="562" w:firstLineChars="200"/>
        <w:rPr>
          <w:rFonts w:ascii="仿宋_GB2312" w:hAnsi="仿宋" w:eastAsia="仿宋_GB2312"/>
          <w:b/>
          <w:sz w:val="28"/>
          <w:szCs w:val="28"/>
        </w:rPr>
      </w:pPr>
    </w:p>
    <w:p w14:paraId="3A091527">
      <w:pPr>
        <w:spacing w:line="480" w:lineRule="exact"/>
        <w:ind w:firstLine="562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一、赛项名称</w:t>
      </w:r>
    </w:p>
    <w:p w14:paraId="3EF71162">
      <w:pPr>
        <w:spacing w:line="48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赛项名称：市场营销技能</w:t>
      </w:r>
    </w:p>
    <w:p w14:paraId="420AEDE8">
      <w:pPr>
        <w:spacing w:line="48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Style w:val="6"/>
          <w:rFonts w:hint="eastAsia" w:ascii="仿宋_GB2312" w:hAnsi="Arial" w:eastAsia="仿宋_GB2312" w:cs="Arial"/>
          <w:color w:val="222222"/>
          <w:sz w:val="28"/>
          <w:szCs w:val="28"/>
        </w:rPr>
        <w:t>英文翻译：</w:t>
      </w:r>
      <w:r>
        <w:rPr>
          <w:rFonts w:hint="eastAsia" w:hAnsi="仿宋"/>
          <w:sz w:val="28"/>
          <w:szCs w:val="28"/>
        </w:rPr>
        <w:t>Marketing skills</w:t>
      </w:r>
    </w:p>
    <w:p w14:paraId="436ED234">
      <w:pPr>
        <w:spacing w:line="480" w:lineRule="exact"/>
        <w:ind w:firstLine="562" w:firstLineChars="200"/>
        <w:rPr>
          <w:rFonts w:ascii="仿宋_GB2312" w:hAnsi="仿宋" w:eastAsia="仿宋_GB2312"/>
          <w:b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b/>
          <w:color w:val="000000"/>
          <w:sz w:val="28"/>
          <w:szCs w:val="28"/>
        </w:rPr>
        <w:t>二、竞赛目的</w:t>
      </w:r>
    </w:p>
    <w:p w14:paraId="322C2278"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通过情境营销竞赛内容，考察参赛选手市场信息分析、目标市场选择、营销策略策划、会计报表分析等市场营销核心技能。通过竞赛，全方位展示参赛选手在在组织管理、团队合作、创新思维等方面的职业素养，为各院校师生提供了交流借鉴的平台，引领高职院校市场营销专业建设和教学改革，推进专业建设对接产业发展、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才培养过程深度校企合作，提高市场营销高等职业人才培养质量和社会认可度与影响力。</w:t>
      </w:r>
    </w:p>
    <w:p w14:paraId="61A08FB0">
      <w:pPr>
        <w:spacing w:line="500" w:lineRule="exact"/>
        <w:ind w:firstLine="562" w:firstLineChars="200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三、竞赛内容</w:t>
      </w:r>
    </w:p>
    <w:p w14:paraId="36A74B6B">
      <w:pPr>
        <w:spacing w:line="50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赛项围绕目标市场选择、营销策略策划、会计报表分析等市场营销核心技能，研发了以生产厂家市场营销经营主体的竞赛内容，建设了厂家虚拟营销资源。设计的生产厂家营销竞赛内容从商品需求信息的采集与分析、目标市场选择、营销策略组合到最后会计报表填制等典型工作任务。竞赛中选手会运用到经济学基础、市场营销学、企业管理、营销策划、统计分析、财务会计、计算机运用、广告学基础、市场调查与分析、消费心理学等十多门课程综合知识。</w:t>
      </w:r>
    </w:p>
    <w:tbl>
      <w:tblPr>
        <w:tblStyle w:val="4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9"/>
        <w:gridCol w:w="4261"/>
      </w:tblGrid>
      <w:tr w14:paraId="442D4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9" w:type="dxa"/>
            <w:shd w:val="clear" w:color="auto" w:fill="auto"/>
            <w:noWrap w:val="0"/>
            <w:vAlign w:val="center"/>
          </w:tcPr>
          <w:p w14:paraId="0BA9013C">
            <w:pPr>
              <w:pStyle w:val="2"/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比赛内容</w:t>
            </w:r>
          </w:p>
        </w:tc>
        <w:tc>
          <w:tcPr>
            <w:tcW w:w="4261" w:type="dxa"/>
            <w:shd w:val="clear" w:color="auto" w:fill="auto"/>
            <w:noWrap w:val="0"/>
            <w:vAlign w:val="center"/>
          </w:tcPr>
          <w:p w14:paraId="715BAAC4">
            <w:pPr>
              <w:pStyle w:val="2"/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时间</w:t>
            </w:r>
          </w:p>
        </w:tc>
      </w:tr>
      <w:tr w14:paraId="34B8A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9" w:type="dxa"/>
            <w:shd w:val="clear" w:color="auto" w:fill="auto"/>
            <w:noWrap w:val="0"/>
            <w:vAlign w:val="top"/>
          </w:tcPr>
          <w:p w14:paraId="2A6B6C8F">
            <w:pPr>
              <w:spacing w:line="5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情境营销：各参赛队在同一个模拟市场环境条件下，通过目标市场分析与选择、营销策略组合和财务报表分析，使企业的效益最大化。</w:t>
            </w:r>
          </w:p>
        </w:tc>
        <w:tc>
          <w:tcPr>
            <w:tcW w:w="4261" w:type="dxa"/>
            <w:shd w:val="clear" w:color="auto" w:fill="auto"/>
            <w:noWrap w:val="0"/>
            <w:vAlign w:val="top"/>
          </w:tcPr>
          <w:p w14:paraId="53A1C466">
            <w:pPr>
              <w:pStyle w:val="2"/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60414346">
            <w:pPr>
              <w:pStyle w:val="2"/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初赛（120分钟）</w:t>
            </w:r>
          </w:p>
          <w:p w14:paraId="498CD618"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决赛（180分钟）</w:t>
            </w:r>
          </w:p>
        </w:tc>
      </w:tr>
    </w:tbl>
    <w:p w14:paraId="6668A5DD">
      <w:pPr>
        <w:spacing w:line="480" w:lineRule="exact"/>
        <w:ind w:firstLine="562" w:firstLineChars="200"/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四、竞赛方式</w:t>
      </w:r>
    </w:p>
    <w:p w14:paraId="2145636D">
      <w:pPr>
        <w:spacing w:line="48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本赛项为团体赛。</w:t>
      </w:r>
      <w:r>
        <w:rPr>
          <w:rFonts w:hint="eastAsia" w:ascii="仿宋_GB2312" w:hAnsi="华文仿宋" w:eastAsia="仿宋_GB2312" w:cs="Arial"/>
          <w:kern w:val="0"/>
          <w:sz w:val="28"/>
          <w:szCs w:val="28"/>
        </w:rPr>
        <w:t>以组队形式参赛，同一人不得同时报名不同参赛队伍。每支参赛队由2-4名参赛选手、1-2名指导教师组成。</w:t>
      </w:r>
    </w:p>
    <w:p w14:paraId="50F5E743">
      <w:pPr>
        <w:spacing w:line="480" w:lineRule="exact"/>
        <w:ind w:firstLine="562" w:firstLineChars="200"/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五、竞赛试题</w:t>
      </w:r>
    </w:p>
    <w:p w14:paraId="4E2D631F">
      <w:pPr>
        <w:spacing w:line="50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本赛项公开试题。</w:t>
      </w:r>
    </w:p>
    <w:p w14:paraId="75193470"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1.赛题背景资料</w:t>
      </w:r>
    </w:p>
    <w:p w14:paraId="121D9401">
      <w:pPr>
        <w:spacing w:line="500" w:lineRule="exact"/>
        <w:ind w:firstLine="560" w:firstLineChars="200"/>
        <w:rPr>
          <w:rFonts w:hint="eastAsia" w:ascii="仿宋_GB2312" w:hAnsi="华文仿宋" w:eastAsia="仿宋_GB2312"/>
          <w:color w:val="0D0D0D"/>
          <w:sz w:val="30"/>
          <w:szCs w:val="30"/>
        </w:rPr>
      </w:pPr>
      <w:r>
        <w:rPr>
          <w:rFonts w:hint="eastAsia" w:ascii="仿宋_GB2312" w:hAnsi="仿宋" w:eastAsia="仿宋_GB2312"/>
          <w:sz w:val="28"/>
          <w:szCs w:val="28"/>
        </w:rPr>
        <w:t>赛项提供了P1、P2、P3、P4四类产品在五个市场未来三年的销售价格、销售量的预测资料 。参赛团队组成企业营销的核心团队，负责的企业是一个生产型企业，以销售P1产品为主营业务，资金充裕，银行信用良好，但是产品单一，只在本地市场销售，竞争越来越激烈，预计未来几年销售收入将继续下降。参赛团队通过目标市场分析与选择、营销策略组合和财务报表分析，使企业的效益最大化。</w:t>
      </w:r>
    </w:p>
    <w:p w14:paraId="55302FDF"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2.目标市场分析与选择</w:t>
      </w:r>
    </w:p>
    <w:p w14:paraId="4250E191"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根据软件提供P1、P2、P3、P4四类新产品在五个市场未来三年的需求预测图（图1），获取详细的需求信息。选手通过市场预测图进行市场分析，决定是否购买调研报告（图2），通过购买市场调研报告，了解直销客户、批发商、 零售商（六类消费人群）的需求信息，确定目标市场，制定营销计划（表1）。</w:t>
      </w:r>
    </w:p>
    <w:p w14:paraId="3A8343AB"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1133475</wp:posOffset>
            </wp:positionV>
            <wp:extent cx="5608955" cy="2181225"/>
            <wp:effectExtent l="0" t="0" r="10795" b="9525"/>
            <wp:wrapSquare wrapText="bothSides"/>
            <wp:docPr id="1" name="图片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36"/>
                    <pic:cNvPicPr>
                      <a:picLocks noChangeAspect="1"/>
                    </pic:cNvPicPr>
                  </pic:nvPicPr>
                  <pic:blipFill>
                    <a:blip r:embed="rId4"/>
                    <a:srcRect r="1036"/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" w:eastAsia="仿宋_GB2312"/>
          <w:sz w:val="28"/>
          <w:szCs w:val="28"/>
        </w:rPr>
        <w:t>熟悉市场细分的概念和意义，掌握目标市场策略选择时要考虑的主要因素，即企业的资源和能力、产品的性质和生命周期、竞争对手的市场策略。</w:t>
      </w:r>
    </w:p>
    <w:p w14:paraId="28BA9FA5">
      <w:pPr>
        <w:spacing w:line="500" w:lineRule="exact"/>
        <w:jc w:val="center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图1</w:t>
      </w:r>
    </w:p>
    <w:p w14:paraId="33171295">
      <w:pPr>
        <w:spacing w:line="500" w:lineRule="exact"/>
        <w:jc w:val="center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-159385</wp:posOffset>
            </wp:positionH>
            <wp:positionV relativeFrom="paragraph">
              <wp:posOffset>204470</wp:posOffset>
            </wp:positionV>
            <wp:extent cx="5667375" cy="1743075"/>
            <wp:effectExtent l="0" t="0" r="9525" b="9525"/>
            <wp:wrapSquare wrapText="bothSides"/>
            <wp:docPr id="4" name="图片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" w:eastAsia="仿宋_GB2312"/>
          <w:sz w:val="28"/>
          <w:szCs w:val="28"/>
        </w:rPr>
        <w:t>图2</w:t>
      </w:r>
    </w:p>
    <w:tbl>
      <w:tblPr>
        <w:tblStyle w:val="4"/>
        <w:tblpPr w:leftFromText="180" w:rightFromText="180" w:vertAnchor="text" w:horzAnchor="margin" w:tblpY="457"/>
        <w:tblW w:w="870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767"/>
        <w:gridCol w:w="765"/>
        <w:gridCol w:w="992"/>
        <w:gridCol w:w="1276"/>
        <w:gridCol w:w="1318"/>
        <w:gridCol w:w="1275"/>
        <w:gridCol w:w="1180"/>
      </w:tblGrid>
      <w:tr w14:paraId="101C1A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1128" w:type="dxa"/>
            <w:noWrap w:val="0"/>
            <w:vAlign w:val="center"/>
          </w:tcPr>
          <w:p w14:paraId="00CFD85B">
            <w:r>
              <w:rPr>
                <w:rFonts w:hint="eastAsia"/>
              </w:rPr>
              <w:t>季度</w:t>
            </w:r>
          </w:p>
        </w:tc>
        <w:tc>
          <w:tcPr>
            <w:tcW w:w="767" w:type="dxa"/>
            <w:noWrap w:val="0"/>
            <w:vAlign w:val="center"/>
          </w:tcPr>
          <w:p w14:paraId="746A21B8">
            <w:r>
              <w:rPr>
                <w:rFonts w:hint="eastAsia"/>
              </w:rPr>
              <w:t>产品</w:t>
            </w:r>
          </w:p>
        </w:tc>
        <w:tc>
          <w:tcPr>
            <w:tcW w:w="765" w:type="dxa"/>
            <w:noWrap w:val="0"/>
            <w:vAlign w:val="center"/>
          </w:tcPr>
          <w:p w14:paraId="3E7E24CE">
            <w:r>
              <w:rPr>
                <w:rFonts w:hint="eastAsia"/>
              </w:rPr>
              <w:t>功能</w:t>
            </w:r>
          </w:p>
        </w:tc>
        <w:tc>
          <w:tcPr>
            <w:tcW w:w="992" w:type="dxa"/>
            <w:noWrap w:val="0"/>
            <w:vAlign w:val="center"/>
          </w:tcPr>
          <w:p w14:paraId="4894F533">
            <w:r>
              <w:rPr>
                <w:rFonts w:hint="eastAsia"/>
              </w:rPr>
              <w:t>市场</w:t>
            </w:r>
          </w:p>
        </w:tc>
        <w:tc>
          <w:tcPr>
            <w:tcW w:w="1276" w:type="dxa"/>
            <w:noWrap w:val="0"/>
            <w:vAlign w:val="center"/>
          </w:tcPr>
          <w:p w14:paraId="2BB6F563">
            <w:r>
              <w:rPr>
                <w:rFonts w:hint="eastAsia"/>
              </w:rPr>
              <w:t>直销客户数量</w:t>
            </w:r>
          </w:p>
        </w:tc>
        <w:tc>
          <w:tcPr>
            <w:tcW w:w="1318" w:type="dxa"/>
            <w:noWrap w:val="0"/>
            <w:vAlign w:val="center"/>
          </w:tcPr>
          <w:p w14:paraId="6F7B3DDA">
            <w:r>
              <w:rPr>
                <w:rFonts w:hint="eastAsia"/>
              </w:rPr>
              <w:t>批发商数量</w:t>
            </w:r>
          </w:p>
        </w:tc>
        <w:tc>
          <w:tcPr>
            <w:tcW w:w="1275" w:type="dxa"/>
            <w:noWrap w:val="0"/>
            <w:vAlign w:val="center"/>
          </w:tcPr>
          <w:p w14:paraId="4CA69DCE">
            <w:r>
              <w:rPr>
                <w:rFonts w:hint="eastAsia"/>
              </w:rPr>
              <w:t>零售商数量</w:t>
            </w:r>
          </w:p>
        </w:tc>
        <w:tc>
          <w:tcPr>
            <w:tcW w:w="1180" w:type="dxa"/>
            <w:noWrap w:val="0"/>
            <w:vAlign w:val="center"/>
          </w:tcPr>
          <w:p w14:paraId="36E30B5F">
            <w:r>
              <w:rPr>
                <w:rFonts w:hint="eastAsia"/>
              </w:rPr>
              <w:t>估计毛利</w:t>
            </w:r>
          </w:p>
        </w:tc>
      </w:tr>
      <w:tr w14:paraId="21AAD6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128" w:type="dxa"/>
            <w:noWrap w:val="0"/>
            <w:vAlign w:val="center"/>
          </w:tcPr>
          <w:p w14:paraId="6004D777">
            <w:r>
              <w:rPr>
                <w:rFonts w:hint="eastAsia"/>
              </w:rPr>
              <w:t>1</w:t>
            </w:r>
          </w:p>
        </w:tc>
        <w:tc>
          <w:tcPr>
            <w:tcW w:w="767" w:type="dxa"/>
            <w:noWrap w:val="0"/>
            <w:vAlign w:val="center"/>
          </w:tcPr>
          <w:p w14:paraId="30A9498D">
            <w:r>
              <w:rPr>
                <w:rFonts w:hint="eastAsia"/>
              </w:rPr>
              <w:t>P1</w:t>
            </w:r>
          </w:p>
        </w:tc>
        <w:tc>
          <w:tcPr>
            <w:tcW w:w="765" w:type="dxa"/>
            <w:noWrap w:val="0"/>
            <w:vAlign w:val="center"/>
          </w:tcPr>
          <w:p w14:paraId="4BF3F6FA">
            <w:r>
              <w:rPr>
                <w:rFonts w:hint="eastAsia"/>
              </w:rPr>
              <w:t>F1</w:t>
            </w:r>
          </w:p>
        </w:tc>
        <w:tc>
          <w:tcPr>
            <w:tcW w:w="992" w:type="dxa"/>
            <w:noWrap w:val="0"/>
            <w:vAlign w:val="center"/>
          </w:tcPr>
          <w:p w14:paraId="55E82C3C">
            <w:r>
              <w:rPr>
                <w:rFonts w:hint="eastAsia"/>
              </w:rPr>
              <w:t>东部</w:t>
            </w:r>
          </w:p>
        </w:tc>
        <w:tc>
          <w:tcPr>
            <w:tcW w:w="1276" w:type="dxa"/>
            <w:noWrap w:val="0"/>
            <w:vAlign w:val="center"/>
          </w:tcPr>
          <w:p w14:paraId="09449331">
            <w:r>
              <w:rPr>
                <w:rFonts w:hint="eastAsia"/>
              </w:rPr>
              <w:t>20</w:t>
            </w:r>
          </w:p>
        </w:tc>
        <w:tc>
          <w:tcPr>
            <w:tcW w:w="1318" w:type="dxa"/>
            <w:noWrap w:val="0"/>
            <w:vAlign w:val="center"/>
          </w:tcPr>
          <w:p w14:paraId="7C724E6E">
            <w:r>
              <w:rPr>
                <w:rFonts w:hint="eastAsia"/>
              </w:rPr>
              <w:t>30</w:t>
            </w:r>
          </w:p>
        </w:tc>
        <w:tc>
          <w:tcPr>
            <w:tcW w:w="1275" w:type="dxa"/>
            <w:noWrap w:val="0"/>
            <w:vAlign w:val="center"/>
          </w:tcPr>
          <w:p w14:paraId="7C25D922">
            <w:r>
              <w:rPr>
                <w:rFonts w:hint="eastAsia"/>
              </w:rPr>
              <w:t>60</w:t>
            </w:r>
          </w:p>
        </w:tc>
        <w:tc>
          <w:tcPr>
            <w:tcW w:w="1180" w:type="dxa"/>
            <w:noWrap w:val="0"/>
            <w:vAlign w:val="center"/>
          </w:tcPr>
          <w:p w14:paraId="39D07C93">
            <w:r>
              <w:rPr>
                <w:rFonts w:hint="eastAsia"/>
              </w:rPr>
              <w:t>20</w:t>
            </w:r>
          </w:p>
        </w:tc>
      </w:tr>
      <w:tr w14:paraId="466F42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128" w:type="dxa"/>
            <w:noWrap w:val="0"/>
            <w:vAlign w:val="center"/>
          </w:tcPr>
          <w:p w14:paraId="0E3931FD">
            <w:r>
              <w:rPr>
                <w:rFonts w:hint="eastAsia"/>
              </w:rPr>
              <w:t>2</w:t>
            </w:r>
          </w:p>
        </w:tc>
        <w:tc>
          <w:tcPr>
            <w:tcW w:w="767" w:type="dxa"/>
            <w:noWrap w:val="0"/>
            <w:vAlign w:val="center"/>
          </w:tcPr>
          <w:p w14:paraId="205AAB33">
            <w:r>
              <w:rPr>
                <w:rFonts w:hint="eastAsia"/>
              </w:rPr>
              <w:t>P2</w:t>
            </w:r>
          </w:p>
        </w:tc>
        <w:tc>
          <w:tcPr>
            <w:tcW w:w="765" w:type="dxa"/>
            <w:noWrap w:val="0"/>
            <w:vAlign w:val="center"/>
          </w:tcPr>
          <w:p w14:paraId="35A9A6A4">
            <w:r>
              <w:rPr>
                <w:rFonts w:hint="eastAsia"/>
              </w:rPr>
              <w:t>F1</w:t>
            </w:r>
          </w:p>
        </w:tc>
        <w:tc>
          <w:tcPr>
            <w:tcW w:w="992" w:type="dxa"/>
            <w:noWrap w:val="0"/>
            <w:vAlign w:val="center"/>
          </w:tcPr>
          <w:p w14:paraId="71F4624C">
            <w:r>
              <w:rPr>
                <w:rFonts w:hint="eastAsia"/>
              </w:rPr>
              <w:t>西部</w:t>
            </w:r>
          </w:p>
        </w:tc>
        <w:tc>
          <w:tcPr>
            <w:tcW w:w="1276" w:type="dxa"/>
            <w:noWrap w:val="0"/>
            <w:vAlign w:val="center"/>
          </w:tcPr>
          <w:p w14:paraId="4C8942CD">
            <w:r>
              <w:rPr>
                <w:rFonts w:hint="eastAsia"/>
              </w:rPr>
              <w:t>10</w:t>
            </w:r>
          </w:p>
        </w:tc>
        <w:tc>
          <w:tcPr>
            <w:tcW w:w="1318" w:type="dxa"/>
            <w:noWrap w:val="0"/>
            <w:vAlign w:val="center"/>
          </w:tcPr>
          <w:p w14:paraId="3251662E">
            <w:r>
              <w:rPr>
                <w:rFonts w:hint="eastAsia"/>
              </w:rPr>
              <w:t>60</w:t>
            </w:r>
          </w:p>
        </w:tc>
        <w:tc>
          <w:tcPr>
            <w:tcW w:w="1275" w:type="dxa"/>
            <w:noWrap w:val="0"/>
            <w:vAlign w:val="center"/>
          </w:tcPr>
          <w:p w14:paraId="4BD437DE">
            <w:r>
              <w:rPr>
                <w:rFonts w:hint="eastAsia"/>
              </w:rPr>
              <w:t>30</w:t>
            </w:r>
          </w:p>
        </w:tc>
        <w:tc>
          <w:tcPr>
            <w:tcW w:w="1180" w:type="dxa"/>
            <w:noWrap w:val="0"/>
            <w:vAlign w:val="center"/>
          </w:tcPr>
          <w:p w14:paraId="7057E13D">
            <w:r>
              <w:rPr>
                <w:rFonts w:hint="eastAsia"/>
              </w:rPr>
              <w:t>40</w:t>
            </w:r>
          </w:p>
        </w:tc>
      </w:tr>
    </w:tbl>
    <w:p w14:paraId="2A045854">
      <w:pPr>
        <w:spacing w:line="500" w:lineRule="exact"/>
        <w:jc w:val="center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表1</w:t>
      </w:r>
    </w:p>
    <w:p w14:paraId="1B2CA270"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3.价格策略</w:t>
      </w:r>
    </w:p>
    <w:p w14:paraId="443FE33A"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根据</w:t>
      </w:r>
      <w:r>
        <w:rPr>
          <w:rFonts w:hint="eastAsia" w:ascii="仿宋_GB2312" w:hAnsi="仿宋" w:eastAsia="仿宋_GB2312"/>
          <w:sz w:val="28"/>
          <w:szCs w:val="28"/>
        </w:rPr>
        <w:fldChar w:fldCharType="begin"/>
      </w:r>
      <w:r>
        <w:rPr>
          <w:rFonts w:hint="eastAsia" w:ascii="仿宋_GB2312" w:hAnsi="仿宋" w:eastAsia="仿宋_GB2312"/>
          <w:sz w:val="28"/>
          <w:szCs w:val="28"/>
        </w:rPr>
        <w:instrText xml:space="preserve">HYPERLINK "http://baike.baidu.com/view/581510.htm" \t "_blank"</w:instrText>
      </w:r>
      <w:r>
        <w:rPr>
          <w:rFonts w:hint="eastAsia" w:ascii="仿宋_GB2312" w:hAnsi="仿宋" w:eastAsia="仿宋_GB2312"/>
          <w:sz w:val="28"/>
          <w:szCs w:val="28"/>
        </w:rPr>
        <w:fldChar w:fldCharType="separate"/>
      </w:r>
      <w:r>
        <w:rPr>
          <w:rFonts w:hint="eastAsia" w:ascii="仿宋_GB2312" w:hAnsi="仿宋" w:eastAsia="仿宋_GB2312"/>
          <w:sz w:val="28"/>
          <w:szCs w:val="28"/>
        </w:rPr>
        <w:t>定价目标</w:t>
      </w:r>
      <w:r>
        <w:rPr>
          <w:rFonts w:hint="eastAsia" w:ascii="仿宋_GB2312" w:hAnsi="仿宋" w:eastAsia="仿宋_GB2312"/>
          <w:sz w:val="28"/>
          <w:szCs w:val="28"/>
        </w:rPr>
        <w:fldChar w:fldCharType="end"/>
      </w:r>
      <w:r>
        <w:rPr>
          <w:rFonts w:hint="eastAsia" w:ascii="仿宋_GB2312" w:hAnsi="仿宋" w:eastAsia="仿宋_GB2312"/>
          <w:sz w:val="28"/>
          <w:szCs w:val="28"/>
        </w:rPr>
        <w:t>、确定</w:t>
      </w:r>
      <w:r>
        <w:rPr>
          <w:rFonts w:hint="eastAsia" w:ascii="仿宋_GB2312" w:hAnsi="仿宋" w:eastAsia="仿宋_GB2312"/>
          <w:sz w:val="28"/>
          <w:szCs w:val="28"/>
        </w:rPr>
        <w:fldChar w:fldCharType="begin"/>
      </w:r>
      <w:r>
        <w:rPr>
          <w:rFonts w:hint="eastAsia" w:ascii="仿宋_GB2312" w:hAnsi="仿宋" w:eastAsia="仿宋_GB2312"/>
          <w:sz w:val="28"/>
          <w:szCs w:val="28"/>
        </w:rPr>
        <w:instrText xml:space="preserve">HYPERLINK "http://baike.baidu.com/view/195818.htm" \t "_blank"</w:instrText>
      </w:r>
      <w:r>
        <w:rPr>
          <w:rFonts w:hint="eastAsia" w:ascii="仿宋_GB2312" w:hAnsi="仿宋" w:eastAsia="仿宋_GB2312"/>
          <w:sz w:val="28"/>
          <w:szCs w:val="28"/>
        </w:rPr>
        <w:fldChar w:fldCharType="separate"/>
      </w:r>
      <w:r>
        <w:rPr>
          <w:rFonts w:hint="eastAsia" w:ascii="仿宋_GB2312" w:hAnsi="仿宋" w:eastAsia="仿宋_GB2312"/>
          <w:sz w:val="28"/>
          <w:szCs w:val="28"/>
        </w:rPr>
        <w:t>需求</w:t>
      </w:r>
      <w:r>
        <w:rPr>
          <w:rFonts w:hint="eastAsia" w:ascii="仿宋_GB2312" w:hAnsi="仿宋" w:eastAsia="仿宋_GB2312"/>
          <w:sz w:val="28"/>
          <w:szCs w:val="28"/>
        </w:rPr>
        <w:fldChar w:fldCharType="end"/>
      </w:r>
      <w:r>
        <w:rPr>
          <w:rFonts w:hint="eastAsia" w:ascii="仿宋_GB2312" w:hAnsi="仿宋" w:eastAsia="仿宋_GB2312"/>
          <w:sz w:val="28"/>
          <w:szCs w:val="28"/>
        </w:rPr>
        <w:t>、估计成本、选择</w:t>
      </w:r>
      <w:r>
        <w:rPr>
          <w:rFonts w:hint="eastAsia" w:ascii="仿宋_GB2312" w:hAnsi="仿宋" w:eastAsia="仿宋_GB2312"/>
          <w:sz w:val="28"/>
          <w:szCs w:val="28"/>
        </w:rPr>
        <w:fldChar w:fldCharType="begin"/>
      </w:r>
      <w:r>
        <w:rPr>
          <w:rFonts w:hint="eastAsia" w:ascii="仿宋_GB2312" w:hAnsi="仿宋" w:eastAsia="仿宋_GB2312"/>
          <w:sz w:val="28"/>
          <w:szCs w:val="28"/>
        </w:rPr>
        <w:instrText xml:space="preserve">HYPERLINK "http://baike.baidu.com/view/583460.htm" \t "_blank"</w:instrText>
      </w:r>
      <w:r>
        <w:rPr>
          <w:rFonts w:hint="eastAsia" w:ascii="仿宋_GB2312" w:hAnsi="仿宋" w:eastAsia="仿宋_GB2312"/>
          <w:sz w:val="28"/>
          <w:szCs w:val="28"/>
        </w:rPr>
        <w:fldChar w:fldCharType="separate"/>
      </w:r>
      <w:r>
        <w:rPr>
          <w:rFonts w:hint="eastAsia" w:ascii="仿宋_GB2312" w:hAnsi="仿宋" w:eastAsia="仿宋_GB2312"/>
          <w:sz w:val="28"/>
          <w:szCs w:val="28"/>
        </w:rPr>
        <w:t>定价方法</w:t>
      </w:r>
      <w:r>
        <w:rPr>
          <w:rFonts w:hint="eastAsia" w:ascii="仿宋_GB2312" w:hAnsi="仿宋" w:eastAsia="仿宋_GB2312"/>
          <w:sz w:val="28"/>
          <w:szCs w:val="28"/>
        </w:rPr>
        <w:fldChar w:fldCharType="end"/>
      </w:r>
      <w:r>
        <w:rPr>
          <w:rFonts w:hint="eastAsia" w:ascii="仿宋_GB2312" w:hAnsi="仿宋" w:eastAsia="仿宋_GB2312"/>
          <w:sz w:val="28"/>
          <w:szCs w:val="28"/>
        </w:rPr>
        <w:t>，制定</w:t>
      </w:r>
      <w:r>
        <w:rPr>
          <w:rFonts w:hint="eastAsia" w:ascii="仿宋_GB2312" w:hAnsi="仿宋" w:eastAsia="仿宋_GB2312"/>
          <w:sz w:val="28"/>
          <w:szCs w:val="28"/>
        </w:rPr>
        <w:fldChar w:fldCharType="begin"/>
      </w:r>
      <w:r>
        <w:rPr>
          <w:rFonts w:hint="eastAsia" w:ascii="仿宋_GB2312" w:hAnsi="仿宋" w:eastAsia="仿宋_GB2312"/>
          <w:sz w:val="28"/>
          <w:szCs w:val="28"/>
        </w:rPr>
        <w:instrText xml:space="preserve">HYPERLINK "http://baike.baidu.com/view/940629.htm" \t "_blank"</w:instrText>
      </w:r>
      <w:r>
        <w:rPr>
          <w:rFonts w:hint="eastAsia" w:ascii="仿宋_GB2312" w:hAnsi="仿宋" w:eastAsia="仿宋_GB2312"/>
          <w:sz w:val="28"/>
          <w:szCs w:val="28"/>
        </w:rPr>
        <w:fldChar w:fldCharType="separate"/>
      </w:r>
      <w:r>
        <w:rPr>
          <w:rFonts w:hint="eastAsia" w:ascii="仿宋_GB2312" w:hAnsi="仿宋" w:eastAsia="仿宋_GB2312"/>
          <w:sz w:val="28"/>
          <w:szCs w:val="28"/>
        </w:rPr>
        <w:t>最终价格</w:t>
      </w:r>
      <w:r>
        <w:rPr>
          <w:rFonts w:hint="eastAsia" w:ascii="仿宋_GB2312" w:hAnsi="仿宋" w:eastAsia="仿宋_GB2312"/>
          <w:sz w:val="28"/>
          <w:szCs w:val="28"/>
        </w:rPr>
        <w:fldChar w:fldCharType="end"/>
      </w:r>
      <w:r>
        <w:rPr>
          <w:rFonts w:hint="eastAsia" w:ascii="仿宋_GB2312" w:hAnsi="仿宋" w:eastAsia="仿宋_GB2312"/>
          <w:sz w:val="28"/>
          <w:szCs w:val="28"/>
        </w:rPr>
        <w:t>。比如：企业P1库存较大，直接成本是2，零售市场平均期望价是8，参赛选手制定合适价格。</w:t>
      </w:r>
    </w:p>
    <w:p w14:paraId="74EF2763"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检验参赛选手对价格构成要素及影响，定价因素的理解和掌握情况；检验参赛选手对定价目标和原则的熟悉和掌握情况；检验参赛选手对定价程序和方法的掌握和运用情况；检验参赛选手对定价策略的掌握和运用情况。熟悉价格制定的原理和方法，灵活运用价格策略，实现成功营销。</w:t>
      </w:r>
    </w:p>
    <w:p w14:paraId="6F9BC84F"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4.渠道策略</w:t>
      </w:r>
    </w:p>
    <w:p w14:paraId="78E3D9CE"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根据调研报告提供四种产品、三种营销渠道的市场预测价格和数量，结合企业自身和竞争对手状况，采用多渠道组合营销手段扩大销售。</w:t>
      </w:r>
    </w:p>
    <w:p w14:paraId="0E08712D">
      <w:pPr>
        <w:spacing w:line="500" w:lineRule="exact"/>
        <w:ind w:firstLine="560" w:firstLineChars="200"/>
        <w:rPr>
          <w:rFonts w:hint="eastAsia" w:ascii="仿宋_GB2312" w:hAnsi="华文仿宋" w:eastAsia="仿宋_GB2312"/>
          <w:color w:val="0D0D0D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熟悉直销、批发、零售三种渠道的概念及特征，掌握影响渠道模式选择的因素：产品因素、市场因素、企业自身因素和竞争对手因素。</w:t>
      </w:r>
    </w:p>
    <w:p w14:paraId="44BB66FC">
      <w:pPr>
        <w:pStyle w:val="7"/>
        <w:numPr>
          <w:ilvl w:val="0"/>
          <w:numId w:val="1"/>
        </w:numPr>
        <w:tabs>
          <w:tab w:val="left" w:pos="0"/>
          <w:tab w:val="left" w:pos="1418"/>
        </w:tabs>
        <w:adjustRightInd w:val="0"/>
        <w:snapToGrid w:val="0"/>
        <w:spacing w:beforeLines="0" w:afterLines="0" w:line="560" w:lineRule="exact"/>
        <w:ind w:left="0" w:firstLine="1276" w:firstLineChars="0"/>
        <w:rPr>
          <w:rFonts w:hint="eastAsia" w:ascii="仿宋_GB2312" w:hAnsi="华文仿宋"/>
        </w:rPr>
      </w:pPr>
      <w:r>
        <w:rPr>
          <w:rFonts w:hint="eastAsia" w:ascii="仿宋_GB2312" w:hAnsi="华文仿宋"/>
        </w:rPr>
        <w:t>直销：选手只有在进行了直销客户的开发以后，才有机会参与直销客户的投标。投标流程为：投标报名、资格预审、购买标书、投标、中标公示。最低价中标。每个客户开发费用为5W。</w:t>
      </w:r>
    </w:p>
    <w:p w14:paraId="46C519B7">
      <w:pPr>
        <w:pStyle w:val="7"/>
        <w:numPr>
          <w:ilvl w:val="0"/>
          <w:numId w:val="1"/>
        </w:numPr>
        <w:tabs>
          <w:tab w:val="left" w:pos="0"/>
          <w:tab w:val="left" w:pos="1418"/>
        </w:tabs>
        <w:adjustRightInd w:val="0"/>
        <w:snapToGrid w:val="0"/>
        <w:spacing w:beforeLines="0" w:afterLines="0" w:line="560" w:lineRule="exact"/>
        <w:ind w:left="0" w:firstLine="1276" w:firstLineChars="0"/>
        <w:rPr>
          <w:rFonts w:hint="eastAsia" w:ascii="仿宋_GB2312" w:hAnsi="华文仿宋"/>
        </w:rPr>
      </w:pPr>
      <w:r>
        <w:rPr>
          <w:rFonts w:hint="eastAsia" w:ascii="仿宋_GB2312" w:hAnsi="华文仿宋"/>
        </w:rPr>
        <w:t>批发：选手需根据自身的营销策略，在不同市场上制定不同产品的批发招商广告的投放策略，招商广告费用最低为1W，最高不限制，但必须是整数。选手在投放招商广告完成后，由裁判统一控制选单。</w:t>
      </w:r>
    </w:p>
    <w:p w14:paraId="0CE212F4">
      <w:pPr>
        <w:pStyle w:val="7"/>
        <w:numPr>
          <w:ilvl w:val="0"/>
          <w:numId w:val="1"/>
        </w:numPr>
        <w:tabs>
          <w:tab w:val="left" w:pos="0"/>
          <w:tab w:val="left" w:pos="1418"/>
        </w:tabs>
        <w:adjustRightInd w:val="0"/>
        <w:snapToGrid w:val="0"/>
        <w:spacing w:beforeLines="0" w:afterLines="0" w:line="560" w:lineRule="exact"/>
        <w:ind w:left="0" w:firstLine="1276" w:firstLineChars="0"/>
        <w:rPr>
          <w:rFonts w:hint="eastAsia" w:ascii="仿宋_GB2312" w:hAnsi="华文仿宋"/>
        </w:rPr>
      </w:pPr>
      <w:r>
        <w:rPr>
          <w:rFonts w:hint="eastAsia" w:ascii="仿宋_GB2312" w:hAnsi="华文仿宋"/>
        </w:rPr>
        <w:t>零售：为了扩大市场，提高销售额，选手需要选择更多合适的零售商进店销售。选手在选择合适的零售商签约以后，需要将自己的产品配送给各个零售商进行销售。</w:t>
      </w:r>
    </w:p>
    <w:p w14:paraId="3E400FBA">
      <w:pPr>
        <w:pStyle w:val="7"/>
        <w:tabs>
          <w:tab w:val="left" w:pos="567"/>
        </w:tabs>
        <w:adjustRightInd w:val="0"/>
        <w:snapToGrid w:val="0"/>
        <w:spacing w:beforeLines="0" w:afterLines="0" w:line="560" w:lineRule="exact"/>
        <w:ind w:left="568" w:firstLine="0" w:firstLineChars="0"/>
        <w:rPr>
          <w:rFonts w:hint="eastAsia" w:ascii="仿宋_GB2312" w:hAnsi="华文仿宋"/>
        </w:rPr>
      </w:pPr>
      <w:r>
        <w:rPr>
          <w:rFonts w:hint="eastAsia" w:ascii="仿宋_GB2312" w:hAnsi="华文仿宋"/>
        </w:rPr>
        <w:t>5.促销策略</w:t>
      </w:r>
    </w:p>
    <w:p w14:paraId="0ACC225B">
      <w:pPr>
        <w:pStyle w:val="7"/>
        <w:numPr>
          <w:ilvl w:val="0"/>
          <w:numId w:val="2"/>
        </w:numPr>
        <w:tabs>
          <w:tab w:val="left" w:pos="0"/>
          <w:tab w:val="left" w:pos="1418"/>
        </w:tabs>
        <w:adjustRightInd w:val="0"/>
        <w:snapToGrid w:val="0"/>
        <w:spacing w:beforeLines="0" w:afterLines="0" w:line="560" w:lineRule="exact"/>
        <w:ind w:left="0" w:firstLine="1276" w:firstLineChars="0"/>
        <w:rPr>
          <w:rFonts w:hint="eastAsia" w:ascii="仿宋_GB2312" w:hAnsi="华文仿宋"/>
          <w:sz w:val="30"/>
          <w:szCs w:val="30"/>
        </w:rPr>
      </w:pPr>
      <w:r>
        <w:rPr>
          <w:rFonts w:hint="eastAsia" w:ascii="仿宋_GB2312" w:hAnsi="华文仿宋"/>
        </w:rPr>
        <w:t>销售促进：选手采用满就送、多买折扣、买第几件折扣等促销活动，吸引不定型消费人群，增大销售额。熟悉销售促进的概念，掌握销售促进的活动方式。</w:t>
      </w:r>
    </w:p>
    <w:p w14:paraId="54A379B5">
      <w:pPr>
        <w:pStyle w:val="7"/>
        <w:tabs>
          <w:tab w:val="left" w:pos="0"/>
          <w:tab w:val="left" w:pos="1418"/>
        </w:tabs>
        <w:adjustRightInd w:val="0"/>
        <w:snapToGrid w:val="0"/>
        <w:spacing w:beforeLines="0" w:afterLines="0" w:line="560" w:lineRule="exact"/>
        <w:ind w:firstLine="0" w:firstLineChars="0"/>
        <w:rPr>
          <w:rFonts w:ascii="华文仿宋" w:hAnsi="华文仿宋" w:eastAsia="华文仿宋"/>
          <w:sz w:val="30"/>
          <w:szCs w:val="30"/>
        </w:rPr>
      </w:pPr>
      <w:r>
        <w:rPr>
          <w:rFonts w:ascii="华文仿宋" w:hAnsi="华文仿宋" w:eastAsia="华文仿宋"/>
          <w:sz w:val="30"/>
          <w:szCs w:val="3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158115</wp:posOffset>
            </wp:positionV>
            <wp:extent cx="5486400" cy="1790700"/>
            <wp:effectExtent l="0" t="0" r="0" b="0"/>
            <wp:wrapSquare wrapText="bothSides"/>
            <wp:docPr id="2" name="图片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仿宋" w:hAnsi="华文仿宋" w:eastAsia="华文仿宋"/>
          <w:sz w:val="30"/>
          <w:szCs w:val="30"/>
        </w:rPr>
        <w:t xml:space="preserve">   </w:t>
      </w:r>
    </w:p>
    <w:p w14:paraId="75F0903F">
      <w:pPr>
        <w:pStyle w:val="7"/>
        <w:numPr>
          <w:ilvl w:val="0"/>
          <w:numId w:val="2"/>
        </w:numPr>
        <w:tabs>
          <w:tab w:val="left" w:pos="0"/>
          <w:tab w:val="left" w:pos="1418"/>
        </w:tabs>
        <w:adjustRightInd w:val="0"/>
        <w:snapToGrid w:val="0"/>
        <w:spacing w:beforeLines="0" w:afterLines="0" w:line="560" w:lineRule="exact"/>
        <w:ind w:left="0" w:firstLine="1276" w:firstLineChars="0"/>
        <w:rPr>
          <w:rFonts w:hint="eastAsia" w:ascii="仿宋_GB2312" w:hAnsi="华文仿宋"/>
        </w:rPr>
      </w:pPr>
      <w:r>
        <w:rPr>
          <w:rFonts w:hint="eastAsia" w:ascii="仿宋_GB2312" w:hAnsi="华文仿宋"/>
        </w:rPr>
        <w:t>广告策略：选手选择百度竞价排名和央视的多个时段投放广告，吸引习惯型消费人群，增大销售额。熟悉广告的概念、分类；掌握广告的基本原则；掌握广告媒体选择应考虑的因素。</w:t>
      </w:r>
    </w:p>
    <w:p w14:paraId="70578F7C">
      <w:pPr>
        <w:pStyle w:val="7"/>
        <w:tabs>
          <w:tab w:val="left" w:pos="567"/>
        </w:tabs>
        <w:adjustRightInd w:val="0"/>
        <w:snapToGrid w:val="0"/>
        <w:spacing w:beforeLines="0" w:afterLines="0" w:line="560" w:lineRule="exact"/>
        <w:ind w:left="568" w:firstLine="0" w:firstLineChars="0"/>
        <w:rPr>
          <w:rFonts w:hint="eastAsia" w:ascii="仿宋_GB2312" w:hAnsi="华文仿宋"/>
        </w:rPr>
      </w:pPr>
      <w: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287655</wp:posOffset>
            </wp:positionH>
            <wp:positionV relativeFrom="paragraph">
              <wp:posOffset>21590</wp:posOffset>
            </wp:positionV>
            <wp:extent cx="4905375" cy="1781175"/>
            <wp:effectExtent l="0" t="0" r="9525" b="9525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b="39977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华文仿宋"/>
        </w:rPr>
        <w:t>6.产品策略</w:t>
      </w:r>
    </w:p>
    <w:p w14:paraId="3FD847E8">
      <w:pPr>
        <w:spacing w:line="560" w:lineRule="exact"/>
        <w:ind w:firstLine="560" w:firstLineChars="200"/>
        <w:rPr>
          <w:rFonts w:hint="eastAsia" w:ascii="仿宋_GB2312" w:hAnsi="华文仿宋" w:eastAsia="仿宋_GB2312"/>
          <w:color w:val="0D0D0D"/>
          <w:sz w:val="28"/>
          <w:szCs w:val="28"/>
        </w:rPr>
      </w:pPr>
      <w:r>
        <w:rPr>
          <w:rFonts w:hint="eastAsia" w:ascii="仿宋_GB2312" w:hAnsi="华文仿宋" w:eastAsia="仿宋_GB2312"/>
          <w:color w:val="0D0D0D"/>
          <w:sz w:val="28"/>
          <w:szCs w:val="28"/>
        </w:rPr>
        <w:t>根据目标市场选择，制定产品研发计划和产品生产计划。目前只有P1产品，P2 、P3、P4需要三个季度研发，研发费用10W、20W、30W。只有产品研发完成后，才能进行该产品的生产。</w:t>
      </w:r>
    </w:p>
    <w:p w14:paraId="063C1481">
      <w:pPr>
        <w:spacing w:line="560" w:lineRule="exact"/>
        <w:ind w:firstLine="560" w:firstLineChars="200"/>
        <w:rPr>
          <w:rFonts w:hint="eastAsia" w:ascii="仿宋_GB2312" w:hAnsi="华文仿宋" w:eastAsia="仿宋_GB2312"/>
          <w:color w:val="0D0D0D"/>
          <w:sz w:val="28"/>
          <w:szCs w:val="28"/>
        </w:rPr>
      </w:pPr>
      <w:r>
        <w:rPr>
          <w:rFonts w:hint="eastAsia" w:ascii="仿宋_GB2312" w:hAnsi="华文仿宋" w:eastAsia="仿宋_GB2312"/>
          <w:color w:val="0D0D0D"/>
          <w:sz w:val="28"/>
          <w:szCs w:val="28"/>
        </w:rPr>
        <w:t>熟悉产品市场生命周期的概念；掌握产品组合策略和差异化策略。</w:t>
      </w:r>
    </w:p>
    <w:p w14:paraId="5581E93E">
      <w:pPr>
        <w:pStyle w:val="7"/>
        <w:tabs>
          <w:tab w:val="left" w:pos="567"/>
        </w:tabs>
        <w:adjustRightInd w:val="0"/>
        <w:snapToGrid w:val="0"/>
        <w:spacing w:beforeLines="0" w:afterLines="0" w:line="560" w:lineRule="exact"/>
        <w:ind w:left="568" w:firstLine="0" w:firstLineChars="0"/>
        <w:rPr>
          <w:rFonts w:hint="eastAsia" w:ascii="仿宋_GB2312" w:hAnsi="华文仿宋"/>
        </w:rPr>
      </w:pPr>
      <w:r>
        <w:rPr>
          <w:rFonts w:hint="eastAsia" w:ascii="仿宋_GB2312" w:hAnsi="华文仿宋"/>
        </w:rPr>
        <w:t>7.财务</w:t>
      </w:r>
    </w:p>
    <w:p w14:paraId="3D897B2F">
      <w:pPr>
        <w:pStyle w:val="7"/>
        <w:numPr>
          <w:ilvl w:val="0"/>
          <w:numId w:val="3"/>
        </w:numPr>
        <w:tabs>
          <w:tab w:val="left" w:pos="0"/>
          <w:tab w:val="left" w:pos="1418"/>
        </w:tabs>
        <w:adjustRightInd w:val="0"/>
        <w:snapToGrid w:val="0"/>
        <w:spacing w:beforeLines="0" w:afterLines="0" w:line="560" w:lineRule="exact"/>
        <w:ind w:left="0" w:firstLine="1276" w:firstLineChars="0"/>
        <w:rPr>
          <w:rFonts w:hint="eastAsia" w:ascii="仿宋_GB2312" w:hAnsi="华文仿宋"/>
        </w:rPr>
      </w:pPr>
      <w:r>
        <w:rPr>
          <w:rFonts w:hint="eastAsia" w:ascii="仿宋_GB2312" w:hAnsi="华文仿宋"/>
        </w:rPr>
        <w:t>应收应付：及时进行应收账款和应付账款的结算。</w:t>
      </w:r>
    </w:p>
    <w:p w14:paraId="2D5F8CA3">
      <w:pPr>
        <w:pStyle w:val="7"/>
        <w:numPr>
          <w:ilvl w:val="0"/>
          <w:numId w:val="3"/>
        </w:numPr>
        <w:tabs>
          <w:tab w:val="left" w:pos="0"/>
          <w:tab w:val="left" w:pos="1418"/>
        </w:tabs>
        <w:adjustRightInd w:val="0"/>
        <w:snapToGrid w:val="0"/>
        <w:spacing w:beforeLines="0" w:afterLines="0" w:line="560" w:lineRule="exact"/>
        <w:ind w:left="0" w:firstLine="1276" w:firstLineChars="0"/>
        <w:rPr>
          <w:rFonts w:hint="eastAsia" w:ascii="仿宋_GB2312" w:hAnsi="华文仿宋"/>
        </w:rPr>
      </w:pPr>
      <w:r>
        <w:rPr>
          <w:rFonts w:hint="eastAsia" w:ascii="仿宋_GB2312" w:hAnsi="华文仿宋"/>
        </w:rPr>
        <w:t>融资：系统中向企业运营提供了三种融资方式：短期贷款、民间融资和长期贷款。选手可根据企业经营状态进行融资。</w:t>
      </w:r>
    </w:p>
    <w:p w14:paraId="4CDAED65">
      <w:pPr>
        <w:pStyle w:val="7"/>
        <w:numPr>
          <w:ilvl w:val="0"/>
          <w:numId w:val="3"/>
        </w:numPr>
        <w:tabs>
          <w:tab w:val="left" w:pos="0"/>
          <w:tab w:val="left" w:pos="1418"/>
        </w:tabs>
        <w:adjustRightInd w:val="0"/>
        <w:snapToGrid w:val="0"/>
        <w:spacing w:beforeLines="0" w:afterLines="0" w:line="560" w:lineRule="exact"/>
        <w:ind w:left="0" w:firstLine="1276" w:firstLineChars="0"/>
        <w:rPr>
          <w:rFonts w:hint="eastAsia" w:ascii="仿宋_GB2312" w:hAnsi="华文仿宋"/>
        </w:rPr>
      </w:pPr>
      <w:r>
        <w:rPr>
          <w:rFonts w:hint="eastAsia" w:ascii="仿宋_GB2312" w:hAnsi="华文仿宋"/>
        </w:rPr>
        <w:t>支付费用：零售商管理费、租赁费/维修费、库存管理费。</w:t>
      </w:r>
    </w:p>
    <w:p w14:paraId="29C59070">
      <w:pPr>
        <w:pStyle w:val="7"/>
        <w:numPr>
          <w:ilvl w:val="0"/>
          <w:numId w:val="3"/>
        </w:numPr>
        <w:tabs>
          <w:tab w:val="left" w:pos="0"/>
          <w:tab w:val="left" w:pos="1418"/>
        </w:tabs>
        <w:adjustRightInd w:val="0"/>
        <w:snapToGrid w:val="0"/>
        <w:spacing w:beforeLines="0" w:afterLines="0" w:line="560" w:lineRule="exact"/>
        <w:ind w:left="0" w:firstLine="1276" w:firstLineChars="0"/>
        <w:rPr>
          <w:rFonts w:hint="eastAsia" w:ascii="仿宋_GB2312" w:hAnsi="华文仿宋"/>
        </w:rPr>
      </w:pPr>
      <w:r>
        <w:rPr>
          <w:rFonts w:hint="eastAsia" w:ascii="仿宋_GB2312" w:hAnsi="华文仿宋"/>
        </w:rPr>
        <w:t>缴税：每年第一季度缴纳上年度企业所得税。</w:t>
      </w:r>
    </w:p>
    <w:p w14:paraId="19846963">
      <w:pPr>
        <w:pStyle w:val="7"/>
        <w:numPr>
          <w:ilvl w:val="0"/>
          <w:numId w:val="3"/>
        </w:numPr>
        <w:tabs>
          <w:tab w:val="left" w:pos="0"/>
          <w:tab w:val="left" w:pos="1418"/>
        </w:tabs>
        <w:adjustRightInd w:val="0"/>
        <w:snapToGrid w:val="0"/>
        <w:spacing w:beforeLines="0" w:afterLines="0" w:line="560" w:lineRule="exact"/>
        <w:ind w:left="0" w:firstLine="1276" w:firstLineChars="0"/>
        <w:rPr>
          <w:rFonts w:hint="eastAsia" w:ascii="仿宋_GB2312" w:hAnsi="仿宋"/>
          <w:color w:val="0D0D0D"/>
        </w:rPr>
      </w:pPr>
      <w:r>
        <w:rPr>
          <w:rFonts w:hint="eastAsia" w:ascii="仿宋_GB2312" w:hAnsi="华文仿宋"/>
        </w:rPr>
        <w:t>根据系统自动生成的财务报表进行盈亏分析，制定下一步营销策略组合。</w:t>
      </w:r>
    </w:p>
    <w:p w14:paraId="4F4567B4">
      <w:pPr>
        <w:pStyle w:val="7"/>
        <w:numPr>
          <w:ilvl w:val="0"/>
          <w:numId w:val="3"/>
        </w:numPr>
        <w:tabs>
          <w:tab w:val="left" w:pos="0"/>
          <w:tab w:val="left" w:pos="1418"/>
        </w:tabs>
        <w:adjustRightInd w:val="0"/>
        <w:snapToGrid w:val="0"/>
        <w:spacing w:beforeLines="0" w:afterLines="0" w:line="560" w:lineRule="exact"/>
        <w:ind w:left="0" w:firstLine="1276" w:firstLineChars="0"/>
        <w:rPr>
          <w:rFonts w:hint="eastAsia" w:ascii="仿宋_GB2312" w:hAnsi="仿宋"/>
          <w:color w:val="0D0D0D"/>
        </w:rPr>
      </w:pPr>
      <w:r>
        <w:rPr>
          <w:rFonts w:hint="eastAsia" w:ascii="仿宋_GB2312" w:hAnsi="华文仿宋"/>
        </w:rPr>
        <w:t>读懂财务报表，管理应收账款，维持良好的资金流，估算成本和毛利率，进行盈亏分析。</w:t>
      </w:r>
    </w:p>
    <w:p w14:paraId="6EE1C771">
      <w:pPr>
        <w:spacing w:line="500" w:lineRule="exact"/>
        <w:ind w:firstLine="562" w:firstLineChars="200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六、竞赛规则</w:t>
      </w:r>
    </w:p>
    <w:p w14:paraId="2A9024F9">
      <w:pPr>
        <w:pStyle w:val="7"/>
        <w:numPr>
          <w:ilvl w:val="0"/>
          <w:numId w:val="4"/>
        </w:numPr>
        <w:tabs>
          <w:tab w:val="left" w:pos="851"/>
        </w:tabs>
        <w:adjustRightInd w:val="0"/>
        <w:snapToGrid w:val="0"/>
        <w:spacing w:beforeLines="0" w:afterLines="0" w:line="500" w:lineRule="exact"/>
        <w:ind w:left="0" w:firstLine="567" w:firstLineChars="0"/>
        <w:rPr>
          <w:rFonts w:ascii="仿宋_GB2312" w:hAnsi="仿宋"/>
        </w:rPr>
      </w:pPr>
      <w:r>
        <w:rPr>
          <w:rFonts w:hint="eastAsia" w:ascii="仿宋_GB2312" w:hAnsi="仿宋"/>
        </w:rPr>
        <w:t>报名资格：</w:t>
      </w:r>
      <w:bookmarkStart w:id="0" w:name="OLE_LINK2"/>
      <w:r>
        <w:rPr>
          <w:rFonts w:hint="eastAsia" w:ascii="仿宋_GB2312" w:hAnsi="仿宋"/>
        </w:rPr>
        <w:t>在校学生均可组队报名</w:t>
      </w:r>
      <w:r>
        <w:rPr>
          <w:rFonts w:ascii="仿宋_GB2312" w:hAnsi="仿宋"/>
        </w:rPr>
        <w:t xml:space="preserve"> </w:t>
      </w:r>
    </w:p>
    <w:bookmarkEnd w:id="0"/>
    <w:p w14:paraId="1474029A">
      <w:pPr>
        <w:pStyle w:val="7"/>
        <w:numPr>
          <w:ilvl w:val="0"/>
          <w:numId w:val="4"/>
        </w:numPr>
        <w:tabs>
          <w:tab w:val="left" w:pos="851"/>
        </w:tabs>
        <w:adjustRightInd w:val="0"/>
        <w:snapToGrid w:val="0"/>
        <w:spacing w:beforeLines="0" w:afterLines="0" w:line="500" w:lineRule="exact"/>
        <w:ind w:left="0" w:firstLine="567" w:firstLineChars="0"/>
        <w:rPr>
          <w:rFonts w:ascii="仿宋_GB2312" w:hAnsi="仿宋"/>
        </w:rPr>
      </w:pPr>
      <w:r>
        <w:rPr>
          <w:rFonts w:hint="eastAsia" w:ascii="仿宋_GB2312" w:hAnsi="仿宋"/>
        </w:rPr>
        <w:t>报名要求：参赛队员在报名获得审核确认后，原则上不再更换，如筹备过程中，队员因故不能参赛，由指导老师出具书面说明并按相关规定补充人员并接受审核；竞赛开始后，参赛队不得更换参赛队员，允许队员缺席比赛。</w:t>
      </w:r>
    </w:p>
    <w:p w14:paraId="43758C8D">
      <w:pPr>
        <w:pStyle w:val="7"/>
        <w:numPr>
          <w:ilvl w:val="0"/>
          <w:numId w:val="4"/>
        </w:numPr>
        <w:tabs>
          <w:tab w:val="left" w:pos="851"/>
        </w:tabs>
        <w:adjustRightInd w:val="0"/>
        <w:snapToGrid w:val="0"/>
        <w:spacing w:beforeLines="0" w:afterLines="0" w:line="500" w:lineRule="exact"/>
        <w:ind w:left="0" w:firstLine="567" w:firstLineChars="0"/>
        <w:rPr>
          <w:rFonts w:ascii="仿宋_GB2312" w:hAnsi="仿宋"/>
        </w:rPr>
      </w:pPr>
      <w:r>
        <w:rPr>
          <w:rFonts w:hint="eastAsia" w:ascii="仿宋_GB2312" w:hAnsi="仿宋"/>
        </w:rPr>
        <w:t>参赛队员入场：参赛选手应提前15分钟到达赛场，凭学生证或身份证检录，按要求入场，不得迟到早退。并在对应的座位入座，裁判负责核对参赛队员信息；严禁参赛选手携带与竞赛无关的电子设备、通讯设备及其他相关资料与用品入场。</w:t>
      </w:r>
    </w:p>
    <w:p w14:paraId="7F19272B">
      <w:pPr>
        <w:pStyle w:val="7"/>
        <w:numPr>
          <w:ilvl w:val="0"/>
          <w:numId w:val="4"/>
        </w:numPr>
        <w:tabs>
          <w:tab w:val="left" w:pos="851"/>
        </w:tabs>
        <w:adjustRightInd w:val="0"/>
        <w:snapToGrid w:val="0"/>
        <w:spacing w:beforeLines="0" w:afterLines="0" w:line="500" w:lineRule="exact"/>
        <w:ind w:left="0" w:firstLine="567" w:firstLineChars="0"/>
        <w:rPr>
          <w:rFonts w:ascii="仿宋_GB2312" w:hAnsi="仿宋"/>
        </w:rPr>
      </w:pPr>
      <w:r>
        <w:rPr>
          <w:rFonts w:hint="eastAsia" w:ascii="仿宋_GB2312" w:hAnsi="仿宋"/>
        </w:rPr>
        <w:t>各参赛队伍打开电脑，进入竞赛平台，并修改各自密码。</w:t>
      </w:r>
    </w:p>
    <w:p w14:paraId="342A10D7">
      <w:pPr>
        <w:pStyle w:val="7"/>
        <w:numPr>
          <w:ilvl w:val="0"/>
          <w:numId w:val="4"/>
        </w:numPr>
        <w:tabs>
          <w:tab w:val="left" w:pos="851"/>
        </w:tabs>
        <w:adjustRightInd w:val="0"/>
        <w:snapToGrid w:val="0"/>
        <w:spacing w:beforeLines="0" w:afterLines="0" w:line="500" w:lineRule="exact"/>
        <w:ind w:left="0" w:firstLine="567" w:firstLineChars="0"/>
        <w:rPr>
          <w:rFonts w:ascii="仿宋_GB2312" w:hAnsi="仿宋"/>
        </w:rPr>
      </w:pPr>
      <w:r>
        <w:rPr>
          <w:rFonts w:hint="eastAsia" w:ascii="仿宋_GB2312" w:hAnsi="仿宋"/>
        </w:rPr>
        <w:t>由裁判长宣布比赛开始，各参赛队伍开始竞赛。</w:t>
      </w:r>
    </w:p>
    <w:p w14:paraId="3091E031">
      <w:pPr>
        <w:pStyle w:val="7"/>
        <w:numPr>
          <w:ilvl w:val="0"/>
          <w:numId w:val="4"/>
        </w:numPr>
        <w:tabs>
          <w:tab w:val="left" w:pos="851"/>
        </w:tabs>
        <w:adjustRightInd w:val="0"/>
        <w:snapToGrid w:val="0"/>
        <w:spacing w:beforeLines="0" w:afterLines="0" w:line="500" w:lineRule="exact"/>
        <w:ind w:left="0" w:firstLine="567" w:firstLineChars="0"/>
        <w:rPr>
          <w:rFonts w:ascii="仿宋_GB2312" w:hAnsi="仿宋"/>
        </w:rPr>
      </w:pPr>
      <w:r>
        <w:rPr>
          <w:rFonts w:hint="eastAsia" w:ascii="仿宋_GB2312" w:hAnsi="仿宋"/>
        </w:rPr>
        <w:t>竞赛过程中，如有疑问，参赛选手应举手示意，项目裁判长应按照有关要求及时予以答疑。如遇设备或软件等故障，参赛选手应举手示意。项目裁判长、技术人员等应及时予以解决。确因计算机软件或硬件故障，致使操作无法继续的，经项目裁判长确认，予以启用备用计算机。</w:t>
      </w:r>
    </w:p>
    <w:p w14:paraId="12863E93">
      <w:pPr>
        <w:pStyle w:val="7"/>
        <w:numPr>
          <w:ilvl w:val="0"/>
          <w:numId w:val="4"/>
        </w:numPr>
        <w:tabs>
          <w:tab w:val="left" w:pos="851"/>
          <w:tab w:val="left" w:pos="993"/>
        </w:tabs>
        <w:adjustRightInd w:val="0"/>
        <w:snapToGrid w:val="0"/>
        <w:spacing w:beforeLines="0" w:afterLines="0" w:line="500" w:lineRule="exact"/>
        <w:ind w:left="0" w:firstLine="567" w:firstLineChars="0"/>
        <w:rPr>
          <w:rFonts w:ascii="仿宋_GB2312" w:hAnsi="仿宋"/>
        </w:rPr>
      </w:pPr>
      <w:r>
        <w:rPr>
          <w:rFonts w:hint="eastAsia" w:ascii="仿宋_GB2312" w:hAnsi="仿宋"/>
        </w:rPr>
        <w:t>比赛开始后，在运营过程中，赛场裁判负责控制招标过程。</w:t>
      </w:r>
    </w:p>
    <w:p w14:paraId="3E2614BD">
      <w:pPr>
        <w:pStyle w:val="7"/>
        <w:numPr>
          <w:ilvl w:val="0"/>
          <w:numId w:val="4"/>
        </w:numPr>
        <w:tabs>
          <w:tab w:val="left" w:pos="851"/>
          <w:tab w:val="left" w:pos="993"/>
        </w:tabs>
        <w:adjustRightInd w:val="0"/>
        <w:snapToGrid w:val="0"/>
        <w:spacing w:beforeLines="0" w:afterLines="0" w:line="500" w:lineRule="exact"/>
        <w:ind w:left="0" w:firstLine="567" w:firstLineChars="0"/>
        <w:rPr>
          <w:rFonts w:ascii="仿宋_GB2312" w:hAnsi="仿宋"/>
        </w:rPr>
      </w:pPr>
      <w:r>
        <w:rPr>
          <w:rFonts w:hint="eastAsia" w:ascii="仿宋_GB2312" w:hAnsi="仿宋"/>
        </w:rPr>
        <w:t>按照竞赛规程，在经营初赛两个、决赛三个会计年度后，裁判公布竞赛结果，并将成绩登</w:t>
      </w:r>
      <w:r>
        <w:rPr>
          <w:rFonts w:hint="eastAsia"/>
        </w:rPr>
        <w:t>录</w:t>
      </w:r>
      <w:r>
        <w:rPr>
          <w:rFonts w:hint="eastAsia" w:ascii="仿宋_GB2312" w:hAnsi="仿宋"/>
        </w:rPr>
        <w:t>在竞赛成绩单上。</w:t>
      </w:r>
    </w:p>
    <w:p w14:paraId="790C4DA0">
      <w:pPr>
        <w:pStyle w:val="7"/>
        <w:numPr>
          <w:ilvl w:val="0"/>
          <w:numId w:val="4"/>
        </w:numPr>
        <w:tabs>
          <w:tab w:val="left" w:pos="851"/>
          <w:tab w:val="left" w:pos="993"/>
        </w:tabs>
        <w:adjustRightInd w:val="0"/>
        <w:snapToGrid w:val="0"/>
        <w:spacing w:beforeLines="0" w:afterLines="0" w:line="500" w:lineRule="exact"/>
        <w:ind w:left="0" w:firstLine="567" w:firstLineChars="0"/>
        <w:rPr>
          <w:rFonts w:ascii="仿宋_GB2312" w:hAnsi="仿宋"/>
        </w:rPr>
      </w:pPr>
      <w:r>
        <w:rPr>
          <w:rFonts w:hint="eastAsia" w:ascii="仿宋_GB2312" w:hAnsi="仿宋"/>
        </w:rPr>
        <w:t>赛场裁判将数据进行备份和保存，成绩单提交给大赛组委会备案。</w:t>
      </w:r>
    </w:p>
    <w:p w14:paraId="2EEBAC93">
      <w:pPr>
        <w:pStyle w:val="7"/>
        <w:numPr>
          <w:ilvl w:val="0"/>
          <w:numId w:val="4"/>
        </w:numPr>
        <w:tabs>
          <w:tab w:val="left" w:pos="851"/>
          <w:tab w:val="left" w:pos="993"/>
        </w:tabs>
        <w:adjustRightInd w:val="0"/>
        <w:snapToGrid w:val="0"/>
        <w:spacing w:beforeLines="0" w:afterLines="0" w:line="500" w:lineRule="exact"/>
        <w:ind w:left="0" w:firstLine="567" w:firstLineChars="0"/>
        <w:rPr>
          <w:rFonts w:hint="eastAsia" w:cs="宋体"/>
          <w:b/>
        </w:rPr>
      </w:pPr>
      <w:r>
        <w:rPr>
          <w:rFonts w:hint="eastAsia"/>
        </w:rPr>
        <w:t>大赛组委会当场公布成绩。</w:t>
      </w:r>
    </w:p>
    <w:p w14:paraId="7D7C214A">
      <w:pPr>
        <w:spacing w:line="500" w:lineRule="exact"/>
        <w:ind w:firstLine="562" w:firstLineChars="200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 w:cs="宋体"/>
          <w:b/>
          <w:sz w:val="28"/>
          <w:szCs w:val="28"/>
        </w:rPr>
        <w:t>七、</w:t>
      </w:r>
      <w:r>
        <w:rPr>
          <w:rFonts w:hint="eastAsia" w:ascii="仿宋_GB2312" w:hAnsi="仿宋" w:eastAsia="仿宋_GB2312"/>
          <w:b/>
          <w:sz w:val="28"/>
          <w:szCs w:val="28"/>
        </w:rPr>
        <w:t>技术规范</w:t>
      </w:r>
    </w:p>
    <w:p w14:paraId="6E166D78"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" w:eastAsia="仿宋_GB2312"/>
          <w:color w:val="0D0D0D"/>
          <w:sz w:val="28"/>
          <w:szCs w:val="28"/>
        </w:rPr>
      </w:pPr>
      <w:r>
        <w:rPr>
          <w:rFonts w:hint="eastAsia" w:ascii="仿宋_GB2312" w:hAnsi="仿宋" w:eastAsia="仿宋_GB2312"/>
          <w:color w:val="0D0D0D"/>
          <w:sz w:val="28"/>
          <w:szCs w:val="28"/>
        </w:rPr>
        <w:t>参赛团队遵循以下规范：《助理营销师国家职业标准》（国家职业资格三级）</w:t>
      </w:r>
    </w:p>
    <w:p w14:paraId="7E230054">
      <w:pPr>
        <w:spacing w:line="500" w:lineRule="exact"/>
        <w:ind w:firstLine="562" w:firstLineChars="200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 w:cs="宋体"/>
          <w:b/>
          <w:sz w:val="28"/>
          <w:szCs w:val="28"/>
        </w:rPr>
        <w:t>八、</w:t>
      </w:r>
      <w:r>
        <w:rPr>
          <w:rFonts w:hint="eastAsia" w:ascii="仿宋_GB2312" w:hAnsi="仿宋" w:eastAsia="仿宋_GB2312"/>
          <w:b/>
          <w:sz w:val="28"/>
          <w:szCs w:val="28"/>
        </w:rPr>
        <w:t>技术平台</w:t>
      </w:r>
    </w:p>
    <w:tbl>
      <w:tblPr>
        <w:tblStyle w:val="4"/>
        <w:tblW w:w="9035" w:type="dxa"/>
        <w:tblInd w:w="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2"/>
        <w:gridCol w:w="6663"/>
      </w:tblGrid>
      <w:tr w14:paraId="05B1ED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372" w:type="dxa"/>
            <w:noWrap w:val="0"/>
            <w:vAlign w:val="center"/>
          </w:tcPr>
          <w:p w14:paraId="061C83B2">
            <w:pPr>
              <w:pStyle w:val="3"/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hAnsi="仿宋" w:eastAsia="仿宋_GB2312"/>
                <w:b/>
                <w:color w:val="0D0D0D"/>
                <w:kern w:val="2"/>
              </w:rPr>
            </w:pPr>
            <w:r>
              <w:rPr>
                <w:rFonts w:hint="eastAsia" w:ascii="仿宋_GB2312" w:hAnsi="仿宋" w:eastAsia="仿宋_GB2312"/>
                <w:b/>
                <w:color w:val="0D0D0D"/>
                <w:kern w:val="2"/>
              </w:rPr>
              <w:t>品名</w:t>
            </w:r>
          </w:p>
        </w:tc>
        <w:tc>
          <w:tcPr>
            <w:tcW w:w="6663" w:type="dxa"/>
            <w:noWrap w:val="0"/>
            <w:vAlign w:val="center"/>
          </w:tcPr>
          <w:p w14:paraId="78A4577C">
            <w:pPr>
              <w:pStyle w:val="3"/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hAnsi="仿宋" w:eastAsia="仿宋_GB2312"/>
                <w:b/>
                <w:color w:val="0D0D0D"/>
                <w:kern w:val="2"/>
              </w:rPr>
            </w:pPr>
            <w:r>
              <w:rPr>
                <w:rFonts w:hint="eastAsia" w:ascii="仿宋_GB2312" w:hAnsi="仿宋" w:eastAsia="仿宋_GB2312"/>
                <w:b/>
                <w:color w:val="0D0D0D"/>
                <w:kern w:val="2"/>
              </w:rPr>
              <w:t>规格要求说明</w:t>
            </w:r>
          </w:p>
        </w:tc>
      </w:tr>
      <w:tr w14:paraId="14EB24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372" w:type="dxa"/>
            <w:noWrap w:val="0"/>
            <w:vAlign w:val="center"/>
          </w:tcPr>
          <w:p w14:paraId="37CE5899">
            <w:pPr>
              <w:pStyle w:val="3"/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ascii="仿宋_GB2312" w:hAnsi="仿宋" w:eastAsia="仿宋_GB2312"/>
                <w:color w:val="0D0D0D"/>
                <w:kern w:val="2"/>
              </w:rPr>
            </w:pPr>
            <w:r>
              <w:rPr>
                <w:rFonts w:hint="eastAsia" w:ascii="仿宋_GB2312" w:hAnsi="仿宋" w:eastAsia="仿宋_GB2312"/>
                <w:color w:val="0D0D0D"/>
                <w:kern w:val="2"/>
              </w:rPr>
              <w:t>网络连接设备</w:t>
            </w:r>
          </w:p>
        </w:tc>
        <w:tc>
          <w:tcPr>
            <w:tcW w:w="6663" w:type="dxa"/>
            <w:noWrap w:val="0"/>
            <w:vAlign w:val="center"/>
          </w:tcPr>
          <w:p w14:paraId="0EBEAE0E">
            <w:pPr>
              <w:pStyle w:val="3"/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ascii="仿宋_GB2312" w:hAnsi="仿宋" w:eastAsia="仿宋_GB2312"/>
                <w:color w:val="0D0D0D"/>
                <w:kern w:val="2"/>
              </w:rPr>
            </w:pPr>
            <w:r>
              <w:rPr>
                <w:rFonts w:hint="eastAsia" w:ascii="仿宋_GB2312" w:hAnsi="仿宋" w:eastAsia="仿宋_GB2312"/>
                <w:color w:val="0D0D0D"/>
                <w:kern w:val="2"/>
              </w:rPr>
              <w:t>提供网络布线、交换机、竞赛用服务器</w:t>
            </w:r>
          </w:p>
        </w:tc>
      </w:tr>
      <w:tr w14:paraId="091CD1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372" w:type="dxa"/>
            <w:noWrap w:val="0"/>
            <w:vAlign w:val="center"/>
          </w:tcPr>
          <w:p w14:paraId="3432058B">
            <w:pPr>
              <w:pStyle w:val="3"/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ascii="仿宋_GB2312" w:hAnsi="仿宋" w:eastAsia="仿宋_GB2312"/>
                <w:color w:val="0D0D0D"/>
                <w:kern w:val="2"/>
              </w:rPr>
            </w:pPr>
            <w:r>
              <w:rPr>
                <w:rFonts w:hint="eastAsia" w:ascii="仿宋_GB2312" w:hAnsi="仿宋" w:eastAsia="仿宋_GB2312"/>
                <w:color w:val="0D0D0D"/>
                <w:kern w:val="2"/>
              </w:rPr>
              <w:t>竞赛服务器</w:t>
            </w:r>
          </w:p>
        </w:tc>
        <w:tc>
          <w:tcPr>
            <w:tcW w:w="6663" w:type="dxa"/>
            <w:noWrap w:val="0"/>
            <w:vAlign w:val="center"/>
          </w:tcPr>
          <w:p w14:paraId="46543D55">
            <w:pPr>
              <w:pStyle w:val="3"/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ascii="仿宋_GB2312" w:hAnsi="仿宋" w:eastAsia="仿宋_GB2312"/>
                <w:color w:val="0D0D0D"/>
                <w:kern w:val="2"/>
              </w:rPr>
            </w:pPr>
            <w:r>
              <w:rPr>
                <w:rFonts w:ascii="仿宋_GB2312" w:hAnsi="仿宋" w:eastAsia="仿宋_GB2312"/>
                <w:color w:val="0D0D0D"/>
                <w:kern w:val="2"/>
              </w:rPr>
              <w:t>CPU：2颗英特尔至强E5系列；内存：8GB以上；硬盘：500G以上；网卡：千兆网卡；操作系统：Windows</w:t>
            </w:r>
            <w:r>
              <w:rPr>
                <w:rFonts w:hint="eastAsia" w:cs="宋体"/>
                <w:color w:val="0D0D0D"/>
                <w:kern w:val="2"/>
              </w:rPr>
              <w:t> </w:t>
            </w:r>
            <w:r>
              <w:rPr>
                <w:rFonts w:ascii="仿宋_GB2312" w:hAnsi="仿宋" w:eastAsia="仿宋_GB2312"/>
                <w:color w:val="0D0D0D"/>
                <w:kern w:val="2"/>
              </w:rPr>
              <w:t>2008</w:t>
            </w:r>
            <w:r>
              <w:rPr>
                <w:rFonts w:hint="eastAsia" w:cs="宋体"/>
                <w:color w:val="0D0D0D"/>
                <w:kern w:val="2"/>
              </w:rPr>
              <w:t> </w:t>
            </w:r>
            <w:r>
              <w:rPr>
                <w:rFonts w:ascii="仿宋_GB2312" w:hAnsi="仿宋" w:eastAsia="仿宋_GB2312"/>
                <w:color w:val="0D0D0D"/>
                <w:kern w:val="2"/>
              </w:rPr>
              <w:t>Server</w:t>
            </w:r>
            <w:r>
              <w:rPr>
                <w:rFonts w:hint="eastAsia" w:cs="宋体"/>
                <w:color w:val="0D0D0D"/>
                <w:kern w:val="2"/>
              </w:rPr>
              <w:t> </w:t>
            </w:r>
            <w:r>
              <w:rPr>
                <w:rFonts w:ascii="仿宋_GB2312" w:hAnsi="仿宋" w:eastAsia="仿宋_GB2312"/>
                <w:color w:val="0D0D0D"/>
                <w:kern w:val="2"/>
              </w:rPr>
              <w:t>Enterprise，安装IIS7.5；数据库：Microsoft</w:t>
            </w:r>
            <w:r>
              <w:rPr>
                <w:rFonts w:hint="eastAsia" w:cs="宋体"/>
                <w:color w:val="0D0D0D"/>
                <w:kern w:val="2"/>
              </w:rPr>
              <w:t> </w:t>
            </w:r>
            <w:r>
              <w:rPr>
                <w:rFonts w:ascii="仿宋_GB2312" w:hAnsi="仿宋" w:eastAsia="仿宋_GB2312"/>
                <w:color w:val="0D0D0D"/>
                <w:kern w:val="2"/>
              </w:rPr>
              <w:t>SQL</w:t>
            </w:r>
            <w:r>
              <w:rPr>
                <w:rFonts w:hint="eastAsia" w:cs="宋体"/>
                <w:color w:val="0D0D0D"/>
                <w:kern w:val="2"/>
              </w:rPr>
              <w:t> </w:t>
            </w:r>
            <w:r>
              <w:rPr>
                <w:rFonts w:ascii="仿宋_GB2312" w:hAnsi="仿宋" w:eastAsia="仿宋_GB2312"/>
                <w:color w:val="0D0D0D"/>
                <w:kern w:val="2"/>
              </w:rPr>
              <w:t>Server</w:t>
            </w:r>
            <w:r>
              <w:rPr>
                <w:rFonts w:hint="eastAsia" w:cs="宋体"/>
                <w:color w:val="0D0D0D"/>
                <w:kern w:val="2"/>
              </w:rPr>
              <w:t> </w:t>
            </w:r>
            <w:r>
              <w:rPr>
                <w:rFonts w:ascii="仿宋_GB2312" w:hAnsi="仿宋" w:eastAsia="仿宋_GB2312"/>
                <w:color w:val="0D0D0D"/>
                <w:kern w:val="2"/>
              </w:rPr>
              <w:t>2005；</w:t>
            </w:r>
          </w:p>
        </w:tc>
      </w:tr>
      <w:tr w14:paraId="545DA9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372" w:type="dxa"/>
            <w:noWrap w:val="0"/>
            <w:vAlign w:val="center"/>
          </w:tcPr>
          <w:p w14:paraId="42CD4424">
            <w:pPr>
              <w:pStyle w:val="3"/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ascii="仿宋_GB2312" w:hAnsi="仿宋" w:eastAsia="仿宋_GB2312"/>
                <w:color w:val="0D0D0D"/>
                <w:kern w:val="2"/>
              </w:rPr>
            </w:pPr>
            <w:r>
              <w:rPr>
                <w:rFonts w:hint="eastAsia" w:ascii="仿宋_GB2312" w:hAnsi="仿宋" w:eastAsia="仿宋_GB2312"/>
                <w:color w:val="0D0D0D"/>
                <w:kern w:val="2"/>
              </w:rPr>
              <w:t>竞赛软件</w:t>
            </w:r>
          </w:p>
        </w:tc>
        <w:tc>
          <w:tcPr>
            <w:tcW w:w="6663" w:type="dxa"/>
            <w:noWrap w:val="0"/>
            <w:vAlign w:val="center"/>
          </w:tcPr>
          <w:p w14:paraId="29A1EE44">
            <w:pPr>
              <w:pStyle w:val="3"/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ascii="仿宋_GB2312" w:hAnsi="仿宋" w:eastAsia="仿宋_GB2312"/>
                <w:color w:val="0D0D0D"/>
                <w:kern w:val="2"/>
              </w:rPr>
            </w:pPr>
            <w:r>
              <w:rPr>
                <w:rFonts w:hint="eastAsia" w:ascii="仿宋_GB2312" w:hAnsi="仿宋" w:eastAsia="仿宋_GB2312"/>
                <w:color w:val="0D0D0D"/>
                <w:kern w:val="2"/>
              </w:rPr>
              <w:t>中教畅享“市场营销综合实训与竞赛系统”</w:t>
            </w:r>
          </w:p>
        </w:tc>
      </w:tr>
    </w:tbl>
    <w:p w14:paraId="68BE6405">
      <w:pPr>
        <w:spacing w:line="500" w:lineRule="exact"/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</w:t>
      </w:r>
      <w:r>
        <w:rPr>
          <w:rFonts w:hint="eastAsia" w:ascii="仿宋_GB2312" w:hAnsi="仿宋" w:eastAsia="仿宋_GB2312"/>
          <w:b/>
          <w:sz w:val="28"/>
          <w:szCs w:val="28"/>
        </w:rPr>
        <w:t>九、成绩评定</w:t>
      </w:r>
    </w:p>
    <w:p w14:paraId="41904610">
      <w:pPr>
        <w:spacing w:line="500" w:lineRule="exact"/>
        <w:ind w:firstLine="560" w:firstLineChars="200"/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1.裁判组：由经济管理学院营销技能课程组相关教师组成。</w:t>
      </w:r>
    </w:p>
    <w:p w14:paraId="4BD9EF05">
      <w:pPr>
        <w:widowControl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2.评分方法：评分方式为机考评分。评分裁判记录系统评分，填写相应的评分表格后签字确认。在正式公布比赛成绩之前，任何人员不得随意泄露过程评分和结果评分的评分结果。</w:t>
      </w:r>
    </w:p>
    <w:p w14:paraId="58593322">
      <w:pPr>
        <w:widowControl/>
        <w:snapToGrid w:val="0"/>
        <w:spacing w:line="48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</w:t>
      </w:r>
      <w:r>
        <w:rPr>
          <w:rFonts w:hint="eastAsia" w:ascii="仿宋_GB2312" w:hAnsi="仿宋" w:eastAsia="仿宋_GB2312"/>
          <w:sz w:val="28"/>
          <w:szCs w:val="28"/>
        </w:rPr>
        <w:t>评分细则</w:t>
      </w:r>
      <w:r>
        <w:rPr>
          <w:rFonts w:ascii="仿宋_GB2312" w:hAnsi="仿宋" w:eastAsia="仿宋_GB2312"/>
          <w:sz w:val="28"/>
          <w:szCs w:val="28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7736"/>
      </w:tblGrid>
      <w:tr w14:paraId="17063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4497902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</w:t>
            </w:r>
          </w:p>
        </w:tc>
        <w:tc>
          <w:tcPr>
            <w:tcW w:w="0" w:type="auto"/>
            <w:noWrap w:val="0"/>
            <w:vAlign w:val="top"/>
          </w:tcPr>
          <w:p w14:paraId="38096C08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内容</w:t>
            </w:r>
          </w:p>
        </w:tc>
      </w:tr>
      <w:tr w14:paraId="480BA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5C0679B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情境营销</w:t>
            </w:r>
          </w:p>
        </w:tc>
        <w:tc>
          <w:tcPr>
            <w:tcW w:w="0" w:type="auto"/>
            <w:noWrap w:val="0"/>
            <w:vAlign w:val="top"/>
          </w:tcPr>
          <w:p w14:paraId="4F9A83C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市场营销核心技能：目标市场分析与选择、营销策略组合和财务报表分析的综合应用。每个赛场各队经营三个会计年度关帐后，软件自动生成成绩，根据各队成绩排序。</w:t>
            </w:r>
          </w:p>
        </w:tc>
      </w:tr>
    </w:tbl>
    <w:p w14:paraId="650ED4EC">
      <w:pPr>
        <w:spacing w:line="50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十、奖项设定</w:t>
      </w:r>
    </w:p>
    <w:p w14:paraId="1F3253DB">
      <w:pPr>
        <w:shd w:val="clear" w:color="auto" w:fill="FFFFFF"/>
        <w:snapToGrid w:val="0"/>
        <w:spacing w:line="6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本次竞赛设团体一等奖、二等奖、三等奖若干名，由学院颁发获奖证书和奖励。竞赛团体奖的设定按《安徽电子信息职业技术学院技能竞赛管理办法（修订）》（院办〔2025〕18号）执行。</w:t>
      </w:r>
    </w:p>
    <w:p w14:paraId="417D4979">
      <w:pPr>
        <w:spacing w:line="500" w:lineRule="exact"/>
        <w:ind w:firstLine="562" w:firstLineChars="200"/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十一、比赛时间</w:t>
      </w:r>
    </w:p>
    <w:p w14:paraId="47CE6469">
      <w:pPr>
        <w:spacing w:line="500" w:lineRule="exact"/>
        <w:ind w:firstLine="562" w:firstLineChars="200"/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初赛定于五月下旬，各分赛场开展时间具体通知，决赛定于6月4日（如有变动另行通知）。</w:t>
      </w:r>
    </w:p>
    <w:p w14:paraId="0A0D3D85">
      <w:pPr>
        <w:spacing w:line="500" w:lineRule="exact"/>
        <w:ind w:firstLine="562" w:firstLineChars="200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十二、赛项安全</w:t>
      </w:r>
      <w:bookmarkStart w:id="1" w:name="_Toc361563588"/>
      <w:r>
        <w:rPr>
          <w:rFonts w:hint="eastAsia" w:ascii="仿宋_GB2312" w:hAnsi="仿宋" w:eastAsia="仿宋_GB2312"/>
          <w:b/>
          <w:sz w:val="28"/>
          <w:szCs w:val="28"/>
        </w:rPr>
        <w:t>处罚措施</w:t>
      </w:r>
      <w:bookmarkEnd w:id="1"/>
    </w:p>
    <w:p w14:paraId="6FDAD373">
      <w:pPr>
        <w:pStyle w:val="7"/>
        <w:adjustRightInd w:val="0"/>
        <w:snapToGrid w:val="0"/>
        <w:spacing w:beforeLines="0" w:afterLines="0" w:line="500" w:lineRule="exact"/>
        <w:ind w:left="560" w:firstLine="0" w:firstLineChars="0"/>
        <w:rPr>
          <w:rFonts w:ascii="仿宋_GB2312" w:hAnsi="仿宋"/>
          <w:color w:val="000000"/>
        </w:rPr>
      </w:pPr>
      <w:r>
        <w:rPr>
          <w:rFonts w:hint="eastAsia" w:ascii="仿宋_GB2312" w:hAnsi="仿宋"/>
          <w:color w:val="000000"/>
        </w:rPr>
        <w:t>1.因参赛队伍原因造成重大安全事故的，取消其获奖资格。</w:t>
      </w:r>
    </w:p>
    <w:p w14:paraId="7F7619EC">
      <w:pPr>
        <w:pStyle w:val="7"/>
        <w:adjustRightInd w:val="0"/>
        <w:snapToGrid w:val="0"/>
        <w:spacing w:beforeLines="0" w:afterLines="0" w:line="500" w:lineRule="exact"/>
        <w:ind w:firstLine="560"/>
        <w:rPr>
          <w:rFonts w:ascii="仿宋_GB2312" w:hAnsi="仿宋"/>
          <w:color w:val="000000"/>
        </w:rPr>
      </w:pPr>
      <w:r>
        <w:rPr>
          <w:rFonts w:hint="eastAsia" w:ascii="仿宋_GB2312" w:hAnsi="仿宋"/>
          <w:color w:val="000000"/>
        </w:rPr>
        <w:t>2.参赛队伍有发生重大安全事故隐患，经赛场工作人员提示、警告无效的，可取消其继续比赛的资格。</w:t>
      </w:r>
    </w:p>
    <w:p w14:paraId="619A051E">
      <w:pPr>
        <w:pStyle w:val="7"/>
        <w:adjustRightInd w:val="0"/>
        <w:snapToGrid w:val="0"/>
        <w:spacing w:beforeLines="0" w:afterLines="0" w:line="500" w:lineRule="exact"/>
        <w:ind w:firstLine="560"/>
        <w:rPr>
          <w:rFonts w:hint="eastAsia" w:ascii="仿宋_GB2312" w:hAnsi="仿宋"/>
          <w:color w:val="000000"/>
        </w:rPr>
      </w:pPr>
      <w:r>
        <w:rPr>
          <w:rFonts w:hint="eastAsia" w:ascii="仿宋_GB2312" w:hAnsi="仿宋"/>
          <w:color w:val="000000"/>
        </w:rPr>
        <w:t>3.赛事工作人员违规的，按照相应的制度追究责任。情节恶劣并造成重大安全事故的，由司法机关追究相应法律责任。</w:t>
      </w:r>
    </w:p>
    <w:p w14:paraId="5B03A42B">
      <w:pPr>
        <w:pStyle w:val="7"/>
        <w:adjustRightInd w:val="0"/>
        <w:snapToGrid w:val="0"/>
        <w:spacing w:beforeLines="0" w:afterLines="0" w:line="500" w:lineRule="exact"/>
        <w:ind w:firstLine="560"/>
        <w:rPr>
          <w:rFonts w:hint="eastAsia" w:ascii="仿宋_GB2312" w:hAnsi="仿宋"/>
          <w:color w:val="000000"/>
        </w:rPr>
      </w:pPr>
      <w:r>
        <w:rPr>
          <w:rFonts w:hint="eastAsia" w:ascii="仿宋_GB2312" w:hAnsi="仿宋"/>
          <w:color w:val="000000"/>
        </w:rPr>
        <w:t>4.各队成员按照学院新冠肺炎疫情防控要求严格执行防疫措施，否则取消比赛资格。</w:t>
      </w:r>
    </w:p>
    <w:p w14:paraId="172E4459">
      <w:pPr>
        <w:spacing w:line="500" w:lineRule="exact"/>
        <w:ind w:firstLine="562" w:firstLineChars="200"/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十三、附则</w:t>
      </w:r>
    </w:p>
    <w:p w14:paraId="106815BD">
      <w:pPr>
        <w:pStyle w:val="7"/>
        <w:adjustRightInd w:val="0"/>
        <w:snapToGrid w:val="0"/>
        <w:spacing w:beforeLines="0" w:afterLines="0" w:line="500" w:lineRule="exact"/>
        <w:ind w:firstLine="560"/>
        <w:rPr>
          <w:rFonts w:hint="eastAsia" w:ascii="仿宋_GB2312" w:hAnsi="仿宋"/>
          <w:color w:val="000000"/>
        </w:rPr>
      </w:pPr>
      <w:r>
        <w:rPr>
          <w:rFonts w:hint="eastAsia" w:ascii="仿宋_GB2312" w:hAnsi="仿宋"/>
          <w:color w:val="000000"/>
        </w:rPr>
        <w:t>本规程由经济管理学院竞赛组委会负责解释。未尽事宜，另行通知。</w:t>
      </w:r>
    </w:p>
    <w:p w14:paraId="700569FB">
      <w:pPr>
        <w:pStyle w:val="7"/>
        <w:adjustRightInd w:val="0"/>
        <w:snapToGrid w:val="0"/>
        <w:spacing w:beforeLines="0" w:afterLines="0" w:line="500" w:lineRule="exact"/>
        <w:ind w:firstLine="562"/>
        <w:rPr>
          <w:rFonts w:hint="eastAsia" w:ascii="仿宋_GB2312" w:hAnsi="仿宋"/>
          <w:b/>
        </w:rPr>
      </w:pPr>
    </w:p>
    <w:p w14:paraId="0314E683">
      <w:pPr>
        <w:pStyle w:val="7"/>
        <w:adjustRightInd w:val="0"/>
        <w:snapToGrid w:val="0"/>
        <w:spacing w:beforeLines="0" w:afterLines="0" w:line="500" w:lineRule="exact"/>
        <w:ind w:firstLine="562"/>
        <w:rPr>
          <w:rFonts w:hint="eastAsia" w:ascii="仿宋_GB2312" w:hAnsi="仿宋"/>
          <w:b/>
        </w:rPr>
      </w:pPr>
    </w:p>
    <w:p w14:paraId="461C27A9">
      <w:pPr>
        <w:pStyle w:val="7"/>
        <w:wordWrap w:val="0"/>
        <w:adjustRightInd w:val="0"/>
        <w:snapToGrid w:val="0"/>
        <w:spacing w:beforeLines="0" w:afterLines="0" w:line="500" w:lineRule="exact"/>
        <w:ind w:firstLine="562"/>
        <w:jc w:val="right"/>
        <w:rPr>
          <w:rFonts w:hint="eastAsia" w:ascii="仿宋_GB2312" w:hAnsi="仿宋"/>
          <w:b/>
        </w:rPr>
      </w:pPr>
      <w:r>
        <w:rPr>
          <w:rFonts w:hint="eastAsia" w:ascii="仿宋_GB2312" w:hAnsi="仿宋"/>
          <w:b/>
        </w:rPr>
        <w:t xml:space="preserve">安徽电子信息职业技术学院 </w:t>
      </w:r>
    </w:p>
    <w:p w14:paraId="2EBE2348">
      <w:pPr>
        <w:pStyle w:val="7"/>
        <w:wordWrap w:val="0"/>
        <w:adjustRightInd w:val="0"/>
        <w:snapToGrid w:val="0"/>
        <w:spacing w:beforeLines="0" w:afterLines="0" w:line="500" w:lineRule="exact"/>
        <w:ind w:firstLine="562"/>
        <w:jc w:val="right"/>
        <w:rPr>
          <w:rFonts w:hint="eastAsia" w:ascii="仿宋_GB2312" w:hAnsi="仿宋"/>
          <w:b/>
        </w:rPr>
      </w:pPr>
      <w:r>
        <w:rPr>
          <w:rFonts w:hint="eastAsia" w:ascii="仿宋_GB2312" w:hAnsi="仿宋"/>
          <w:b/>
        </w:rPr>
        <w:t xml:space="preserve">教学科研处  经济管理学院 </w:t>
      </w:r>
    </w:p>
    <w:p w14:paraId="36263451">
      <w:pPr>
        <w:pStyle w:val="7"/>
        <w:wordWrap w:val="0"/>
        <w:adjustRightInd w:val="0"/>
        <w:snapToGrid w:val="0"/>
        <w:spacing w:beforeLines="0" w:afterLines="0" w:line="500" w:lineRule="exact"/>
        <w:ind w:firstLine="562"/>
        <w:jc w:val="right"/>
        <w:rPr>
          <w:rFonts w:hint="eastAsia" w:ascii="仿宋_GB2312" w:hAnsi="仿宋"/>
          <w:b/>
        </w:rPr>
      </w:pPr>
      <w:r>
        <w:rPr>
          <w:rFonts w:hint="eastAsia" w:ascii="仿宋_GB2312" w:hAnsi="仿宋"/>
          <w:b/>
        </w:rPr>
        <w:t xml:space="preserve">二〇二五年五月    </w:t>
      </w:r>
    </w:p>
    <w:p w14:paraId="16207091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121AD2"/>
    <w:multiLevelType w:val="multilevel"/>
    <w:tmpl w:val="11121AD2"/>
    <w:lvl w:ilvl="0" w:tentative="0">
      <w:start w:val="1"/>
      <w:numFmt w:val="decimal"/>
      <w:lvlText w:val="%1."/>
      <w:lvlJc w:val="left"/>
      <w:pPr>
        <w:ind w:left="1271" w:hanging="420"/>
      </w:pPr>
      <w:rPr>
        <w:rFonts w:hint="eastAsia"/>
        <w:b w:val="0"/>
        <w:sz w:val="28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9F57B6F"/>
    <w:multiLevelType w:val="multilevel"/>
    <w:tmpl w:val="19F57B6F"/>
    <w:lvl w:ilvl="0" w:tentative="0">
      <w:start w:val="1"/>
      <w:numFmt w:val="decimal"/>
      <w:lvlText w:val="（%1）"/>
      <w:lvlJc w:val="right"/>
      <w:pPr>
        <w:ind w:left="1271" w:hanging="420"/>
      </w:pPr>
      <w:rPr>
        <w:rFonts w:hint="default"/>
        <w:sz w:val="28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59A13149"/>
    <w:multiLevelType w:val="multilevel"/>
    <w:tmpl w:val="59A13149"/>
    <w:lvl w:ilvl="0" w:tentative="0">
      <w:start w:val="1"/>
      <w:numFmt w:val="decimal"/>
      <w:lvlText w:val="（%1）"/>
      <w:lvlJc w:val="right"/>
      <w:pPr>
        <w:ind w:left="8784" w:hanging="420"/>
      </w:pPr>
      <w:rPr>
        <w:rFonts w:hint="default"/>
        <w:sz w:val="28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74A1195D"/>
    <w:multiLevelType w:val="multilevel"/>
    <w:tmpl w:val="74A1195D"/>
    <w:lvl w:ilvl="0" w:tentative="0">
      <w:start w:val="1"/>
      <w:numFmt w:val="decimal"/>
      <w:lvlText w:val="（%1）"/>
      <w:lvlJc w:val="right"/>
      <w:pPr>
        <w:ind w:left="1260" w:hanging="420"/>
      </w:pPr>
      <w:rPr>
        <w:rFonts w:hint="default"/>
        <w:sz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B5162"/>
    <w:rsid w:val="667B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Times New Roman" w:hAnsi="Times New Roman"/>
      <w:szCs w:val="2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66"/>
      <w:kern w:val="0"/>
      <w:sz w:val="24"/>
      <w:szCs w:val="24"/>
    </w:rPr>
  </w:style>
  <w:style w:type="character" w:customStyle="1" w:styleId="6">
    <w:name w:val="hps"/>
    <w:qFormat/>
    <w:uiPriority w:val="0"/>
  </w:style>
  <w:style w:type="paragraph" w:customStyle="1" w:styleId="7">
    <w:name w:val="5-内文"/>
    <w:basedOn w:val="1"/>
    <w:qFormat/>
    <w:uiPriority w:val="0"/>
    <w:pPr>
      <w:spacing w:beforeLines="25" w:afterLines="25" w:line="300" w:lineRule="auto"/>
      <w:ind w:firstLine="200" w:firstLineChars="200"/>
    </w:pPr>
    <w:rPr>
      <w:rFonts w:ascii="Times New Roman" w:hAnsi="Times New Roman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2025-06-06T08:25:00Z</dcterms:created>
  <dc:creator>杨蕴恒</dc:creator>
  <cp:lastModifiedBy>杨蕴恒</cp:lastModifiedBy>
  <dcterms:modified xsi:type="dcterms:W3CDTF">2025-06-06T08:25:30Z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F2766DBFCFF74BE89A368953FCE2BB83_11</vt:lpwstr>
  </property>
  <property fmtid="{D5CDD505-2E9C-101B-9397-08002B2CF9AE}" pid="4" name="KSOTemplateDocerSaveRecord">
    <vt:lpwstr>eyJoZGlkIjoiNWJjODNmYTQ3NjM1YzI1NzVjYjc0MWY0MzUzYjY3ZWMiLCJ1c2VySWQiOiI1NDcwOTA4MjMifQ==</vt:lpwstr>
  </property>
</Properties>
</file>